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57" w:rsidRDefault="00D67057" w:rsidP="00833125">
      <w:pPr>
        <w:jc w:val="center"/>
        <w:rPr>
          <w:b/>
          <w:sz w:val="28"/>
          <w:szCs w:val="28"/>
        </w:rPr>
      </w:pPr>
      <w:r>
        <w:rPr>
          <w:b/>
          <w:sz w:val="28"/>
          <w:szCs w:val="28"/>
        </w:rPr>
        <w:t xml:space="preserve">EEG Features of </w:t>
      </w:r>
      <w:r w:rsidR="00833125" w:rsidRPr="00B22206">
        <w:rPr>
          <w:b/>
          <w:sz w:val="28"/>
          <w:szCs w:val="28"/>
        </w:rPr>
        <w:t xml:space="preserve"> Mild Cognitive Impairment (MCI) </w:t>
      </w:r>
    </w:p>
    <w:p w:rsidR="00C55D79" w:rsidRDefault="00C55D79" w:rsidP="00833125">
      <w:pPr>
        <w:jc w:val="center"/>
        <w:rPr>
          <w:b/>
          <w:sz w:val="28"/>
          <w:szCs w:val="28"/>
        </w:rPr>
      </w:pPr>
      <w:bookmarkStart w:id="0" w:name="_GoBack"/>
      <w:bookmarkEnd w:id="0"/>
      <w:r>
        <w:rPr>
          <w:b/>
          <w:sz w:val="28"/>
          <w:szCs w:val="28"/>
        </w:rPr>
        <w:t>Abstract</w:t>
      </w:r>
    </w:p>
    <w:p w:rsidR="00F001EF" w:rsidRDefault="00F001EF" w:rsidP="00833125">
      <w:pPr>
        <w:jc w:val="center"/>
        <w:rPr>
          <w:b/>
          <w:sz w:val="28"/>
          <w:szCs w:val="28"/>
        </w:rPr>
      </w:pPr>
    </w:p>
    <w:p w:rsidR="002B46C6" w:rsidRPr="00450D3A" w:rsidRDefault="00F001EF" w:rsidP="002B46C6">
      <w:pPr>
        <w:pStyle w:val="NormalWeb"/>
        <w:kinsoku w:val="0"/>
        <w:overflowPunct w:val="0"/>
        <w:spacing w:before="77" w:beforeAutospacing="0" w:after="0" w:afterAutospacing="0"/>
        <w:textAlignment w:val="baseline"/>
        <w:rPr>
          <w:rStyle w:val="apple-converted-space"/>
          <w:color w:val="000000"/>
          <w:sz w:val="26"/>
          <w:szCs w:val="26"/>
          <w:shd w:val="clear" w:color="auto" w:fill="FFFFFF"/>
        </w:rPr>
      </w:pPr>
      <w:r w:rsidRPr="0073440D">
        <w:t>MCI is a clinical state intermediate between elderly normal cogniti</w:t>
      </w:r>
      <w:r w:rsidR="00E7146C">
        <w:t xml:space="preserve">on and dementia featuring </w:t>
      </w:r>
      <w:r w:rsidRPr="00B22206">
        <w:t>cognitive impairment on neuropsycholo</w:t>
      </w:r>
      <w:r>
        <w:t xml:space="preserve">gical </w:t>
      </w:r>
      <w:proofErr w:type="gramStart"/>
      <w:r>
        <w:t>testing,</w:t>
      </w:r>
      <w:proofErr w:type="gramEnd"/>
      <w:r>
        <w:t xml:space="preserve"> The </w:t>
      </w:r>
      <w:r w:rsidRPr="00F001EF">
        <w:t>purpose of this research is to identify EEG features</w:t>
      </w:r>
      <w:r>
        <w:t xml:space="preserve"> of MCI in comparison with the normal aging. Mini mental State Examination </w:t>
      </w:r>
      <w:proofErr w:type="gramStart"/>
      <w:r>
        <w:t>were</w:t>
      </w:r>
      <w:proofErr w:type="gramEnd"/>
      <w:r>
        <w:t xml:space="preserve"> </w:t>
      </w:r>
      <w:r w:rsidR="00E7146C">
        <w:t xml:space="preserve">used as screening tool from </w:t>
      </w:r>
      <w:proofErr w:type="spellStart"/>
      <w:r w:rsidR="00E7146C">
        <w:t>tweenty</w:t>
      </w:r>
      <w:proofErr w:type="spellEnd"/>
      <w:r w:rsidR="00E7146C">
        <w:t xml:space="preserve"> </w:t>
      </w:r>
      <w:proofErr w:type="spellStart"/>
      <w:r w:rsidR="00E7146C">
        <w:t>particaipants</w:t>
      </w:r>
      <w:proofErr w:type="spellEnd"/>
      <w:r w:rsidR="00E7146C">
        <w:t xml:space="preserve"> and 14 participants were considered normal and 6 MCI.  </w:t>
      </w:r>
      <w:r w:rsidR="00E7146C">
        <w:rPr>
          <w:rStyle w:val="apple-converted-space"/>
          <w:rFonts w:ascii="MinionPro-Regular" w:hAnsi="MinionPro-Regular"/>
          <w:color w:val="000000"/>
          <w:sz w:val="26"/>
          <w:szCs w:val="26"/>
          <w:shd w:val="clear" w:color="auto" w:fill="FFFFFF"/>
        </w:rPr>
        <w:t xml:space="preserve">MCI group revealed the increase of beta2 power over the right anterior region in comparison with the normal healthy aging.   Both groups showed a predominance distribution of theta and alpha at the frontal regions, but the presence of theta are highest at the parietal and temporal area indicating signs of cognitive decline among the MCI.  </w:t>
      </w:r>
      <w:r w:rsidR="002B46C6">
        <w:rPr>
          <w:rFonts w:eastAsiaTheme="minorEastAsia"/>
          <w:color w:val="000000" w:themeColor="text1"/>
          <w:kern w:val="24"/>
        </w:rPr>
        <w:t xml:space="preserve">A reduction of delta at the prefrontal area (F3, </w:t>
      </w:r>
      <w:proofErr w:type="spellStart"/>
      <w:r w:rsidR="002B46C6">
        <w:rPr>
          <w:rFonts w:eastAsiaTheme="minorEastAsia"/>
          <w:color w:val="000000" w:themeColor="text1"/>
          <w:kern w:val="24"/>
        </w:rPr>
        <w:t>Fz</w:t>
      </w:r>
      <w:proofErr w:type="spellEnd"/>
      <w:r w:rsidR="002B46C6">
        <w:rPr>
          <w:rFonts w:eastAsiaTheme="minorEastAsia"/>
          <w:color w:val="000000" w:themeColor="text1"/>
          <w:kern w:val="24"/>
        </w:rPr>
        <w:t>, F4) and the central regions (C3, Cz</w:t>
      </w:r>
      <w:proofErr w:type="gramStart"/>
      <w:r w:rsidR="002B46C6">
        <w:rPr>
          <w:rFonts w:eastAsiaTheme="minorEastAsia"/>
          <w:color w:val="000000" w:themeColor="text1"/>
          <w:kern w:val="24"/>
        </w:rPr>
        <w:t>,C4</w:t>
      </w:r>
      <w:proofErr w:type="gramEnd"/>
      <w:r w:rsidR="002B46C6">
        <w:rPr>
          <w:rFonts w:eastAsiaTheme="minorEastAsia"/>
          <w:color w:val="000000" w:themeColor="text1"/>
          <w:kern w:val="24"/>
        </w:rPr>
        <w:t>) for the normal suggests associated cognitive decline at the hippocampal area.</w:t>
      </w:r>
    </w:p>
    <w:p w:rsidR="00F001EF" w:rsidRPr="00F001EF" w:rsidRDefault="00F001EF" w:rsidP="00F001EF">
      <w:pPr>
        <w:jc w:val="both"/>
        <w:rPr>
          <w:rFonts w:ascii="Times New Roman" w:hAnsi="Times New Roman" w:cs="Times New Roman"/>
          <w:sz w:val="24"/>
          <w:szCs w:val="24"/>
        </w:rPr>
      </w:pPr>
    </w:p>
    <w:p w:rsidR="00B22206" w:rsidRPr="00B22206" w:rsidRDefault="00B22206" w:rsidP="00833125">
      <w:pPr>
        <w:jc w:val="center"/>
        <w:rPr>
          <w:b/>
          <w:sz w:val="28"/>
          <w:szCs w:val="28"/>
        </w:rPr>
      </w:pPr>
    </w:p>
    <w:p w:rsidR="00FD5FC0" w:rsidRPr="00E764F8" w:rsidRDefault="00FD5FC0" w:rsidP="00B22206">
      <w:pPr>
        <w:rPr>
          <w:rFonts w:ascii="Times New Roman" w:hAnsi="Times New Roman" w:cs="Times New Roman"/>
          <w:b/>
          <w:sz w:val="24"/>
          <w:szCs w:val="24"/>
        </w:rPr>
      </w:pPr>
      <w:r w:rsidRPr="00E764F8">
        <w:rPr>
          <w:rFonts w:ascii="Times New Roman" w:hAnsi="Times New Roman" w:cs="Times New Roman"/>
          <w:b/>
          <w:sz w:val="24"/>
          <w:szCs w:val="24"/>
        </w:rPr>
        <w:t>Introduction</w:t>
      </w:r>
    </w:p>
    <w:p w:rsidR="00833125" w:rsidRDefault="00833125" w:rsidP="00B22206">
      <w:pPr>
        <w:jc w:val="both"/>
        <w:rPr>
          <w:rFonts w:ascii="Times New Roman" w:hAnsi="Times New Roman" w:cs="Times New Roman"/>
          <w:sz w:val="24"/>
          <w:szCs w:val="24"/>
        </w:rPr>
      </w:pPr>
      <w:r w:rsidRPr="0073440D">
        <w:rPr>
          <w:rFonts w:ascii="Times New Roman" w:hAnsi="Times New Roman" w:cs="Times New Roman"/>
          <w:sz w:val="24"/>
          <w:szCs w:val="24"/>
        </w:rPr>
        <w:t>MCI is a clinical state intermediate between elderly normal cognition and dementia featuring memory complaints</w:t>
      </w:r>
      <w:r w:rsidRPr="00B22206">
        <w:rPr>
          <w:rFonts w:ascii="Times New Roman" w:hAnsi="Times New Roman" w:cs="Times New Roman"/>
          <w:sz w:val="24"/>
          <w:szCs w:val="24"/>
        </w:rPr>
        <w:t xml:space="preserve"> and cognitive impairment on neuropsycholo</w:t>
      </w:r>
      <w:r w:rsidR="0073440D">
        <w:rPr>
          <w:rFonts w:ascii="Times New Roman" w:hAnsi="Times New Roman" w:cs="Times New Roman"/>
          <w:sz w:val="24"/>
          <w:szCs w:val="24"/>
        </w:rPr>
        <w:t>gical testing, but no dementia [3 9]</w:t>
      </w:r>
      <w:r w:rsidRPr="00B22206">
        <w:rPr>
          <w:rFonts w:ascii="Times New Roman" w:hAnsi="Times New Roman" w:cs="Times New Roman"/>
          <w:sz w:val="24"/>
          <w:szCs w:val="24"/>
        </w:rPr>
        <w:t>.  In studies carried out in memory clinics, 10-15 per cent of people with MCI went on t</w:t>
      </w:r>
      <w:r w:rsidR="00E764F8">
        <w:rPr>
          <w:rFonts w:ascii="Times New Roman" w:hAnsi="Times New Roman" w:cs="Times New Roman"/>
          <w:sz w:val="24"/>
          <w:szCs w:val="24"/>
        </w:rPr>
        <w:t>o develop dementia in each year</w:t>
      </w:r>
      <w:r w:rsidRPr="00B22206">
        <w:rPr>
          <w:rFonts w:ascii="Times New Roman" w:hAnsi="Times New Roman" w:cs="Times New Roman"/>
          <w:sz w:val="24"/>
          <w:szCs w:val="24"/>
        </w:rPr>
        <w:t>.  Since the number of individual</w:t>
      </w:r>
      <w:r w:rsidR="007D7613">
        <w:rPr>
          <w:rFonts w:ascii="Times New Roman" w:hAnsi="Times New Roman" w:cs="Times New Roman"/>
          <w:sz w:val="24"/>
          <w:szCs w:val="24"/>
        </w:rPr>
        <w:t>s</w:t>
      </w:r>
      <w:r w:rsidRPr="00B22206">
        <w:rPr>
          <w:rFonts w:ascii="Times New Roman" w:hAnsi="Times New Roman" w:cs="Times New Roman"/>
          <w:sz w:val="24"/>
          <w:szCs w:val="24"/>
        </w:rPr>
        <w:t xml:space="preserve"> with AD is expected to increase considerable in the near future, reliable treatment and early diagnosis of MCI are critical.  Recent research have demonstrated that QEEG is useful for investigating AD </w:t>
      </w:r>
      <w:r w:rsidR="00E764F8">
        <w:rPr>
          <w:rFonts w:ascii="Times New Roman" w:hAnsi="Times New Roman" w:cs="Times New Roman"/>
          <w:sz w:val="24"/>
          <w:szCs w:val="24"/>
        </w:rPr>
        <w:t>[1,</w:t>
      </w:r>
      <w:r w:rsidR="0073440D">
        <w:rPr>
          <w:rFonts w:ascii="Times New Roman" w:hAnsi="Times New Roman" w:cs="Times New Roman"/>
          <w:sz w:val="24"/>
          <w:szCs w:val="24"/>
        </w:rPr>
        <w:t>4]</w:t>
      </w:r>
      <w:r w:rsidRPr="00B22206">
        <w:rPr>
          <w:rFonts w:ascii="Times New Roman" w:hAnsi="Times New Roman" w:cs="Times New Roman"/>
          <w:sz w:val="24"/>
          <w:szCs w:val="24"/>
        </w:rPr>
        <w:t>. Topographical EEG power changes are believed to reflect early signs of cortical atrophy and/or compensatory cortical reorganization during the early stages of the disease.</w:t>
      </w:r>
    </w:p>
    <w:p w:rsidR="00073D32" w:rsidRPr="00B22206" w:rsidRDefault="00073D32" w:rsidP="003E2E7A">
      <w:pPr>
        <w:tabs>
          <w:tab w:val="left" w:pos="3300"/>
        </w:tabs>
        <w:jc w:val="both"/>
        <w:rPr>
          <w:rFonts w:ascii="Times New Roman" w:hAnsi="Times New Roman" w:cs="Times New Roman"/>
          <w:b/>
          <w:sz w:val="24"/>
          <w:szCs w:val="24"/>
        </w:rPr>
      </w:pPr>
      <w:r w:rsidRPr="00B22206">
        <w:rPr>
          <w:rFonts w:ascii="Times New Roman" w:hAnsi="Times New Roman" w:cs="Times New Roman"/>
          <w:b/>
          <w:sz w:val="24"/>
          <w:szCs w:val="24"/>
        </w:rPr>
        <w:t>Statement of Problem</w:t>
      </w:r>
      <w:r w:rsidR="003E2E7A">
        <w:rPr>
          <w:rFonts w:ascii="Times New Roman" w:hAnsi="Times New Roman" w:cs="Times New Roman"/>
          <w:b/>
          <w:sz w:val="24"/>
          <w:szCs w:val="24"/>
        </w:rPr>
        <w:tab/>
      </w:r>
    </w:p>
    <w:p w:rsidR="00073D32" w:rsidRPr="00B22206" w:rsidRDefault="00073D32" w:rsidP="00073D32">
      <w:pPr>
        <w:jc w:val="both"/>
        <w:rPr>
          <w:rFonts w:ascii="Times New Roman" w:hAnsi="Times New Roman" w:cs="Times New Roman"/>
          <w:sz w:val="24"/>
          <w:szCs w:val="24"/>
        </w:rPr>
      </w:pPr>
      <w:r w:rsidRPr="00B22206">
        <w:rPr>
          <w:rFonts w:ascii="Times New Roman" w:hAnsi="Times New Roman" w:cs="Times New Roman"/>
          <w:sz w:val="24"/>
          <w:szCs w:val="24"/>
        </w:rPr>
        <w:t>The prevalence of neurodegenerative diseases is rising worldwide as the aging population continues to grow at a</w:t>
      </w:r>
      <w:r>
        <w:rPr>
          <w:rFonts w:ascii="Times New Roman" w:hAnsi="Times New Roman" w:cs="Times New Roman"/>
          <w:sz w:val="24"/>
          <w:szCs w:val="24"/>
        </w:rPr>
        <w:t xml:space="preserve"> </w:t>
      </w:r>
      <w:r w:rsidRPr="00B22206">
        <w:rPr>
          <w:rFonts w:ascii="Times New Roman" w:hAnsi="Times New Roman" w:cs="Times New Roman"/>
          <w:sz w:val="24"/>
          <w:szCs w:val="24"/>
        </w:rPr>
        <w:t>vigorous pace. Alzheimer’s disease (AD) is the most common neurodegenerative disorder and its treatment requires</w:t>
      </w:r>
      <w:r>
        <w:rPr>
          <w:rFonts w:ascii="Times New Roman" w:hAnsi="Times New Roman" w:cs="Times New Roman"/>
          <w:sz w:val="24"/>
          <w:szCs w:val="24"/>
        </w:rPr>
        <w:t xml:space="preserve"> </w:t>
      </w:r>
      <w:r w:rsidRPr="00B22206">
        <w:rPr>
          <w:rFonts w:ascii="Times New Roman" w:hAnsi="Times New Roman" w:cs="Times New Roman"/>
          <w:sz w:val="24"/>
          <w:szCs w:val="24"/>
        </w:rPr>
        <w:t>early detection before its progression to dementia. Several studies suggests 5 to 20 percent of the elderly have</w:t>
      </w:r>
      <w:r>
        <w:rPr>
          <w:rFonts w:ascii="Times New Roman" w:hAnsi="Times New Roman" w:cs="Times New Roman"/>
          <w:sz w:val="24"/>
          <w:szCs w:val="24"/>
        </w:rPr>
        <w:t xml:space="preserve"> </w:t>
      </w:r>
      <w:r w:rsidRPr="00B22206">
        <w:rPr>
          <w:rFonts w:ascii="Times New Roman" w:hAnsi="Times New Roman" w:cs="Times New Roman"/>
          <w:sz w:val="24"/>
          <w:szCs w:val="24"/>
        </w:rPr>
        <w:t xml:space="preserve">some form of mild cognitive impairment (MCI) of one form at any one time </w:t>
      </w:r>
      <w:r w:rsidR="00E764F8">
        <w:rPr>
          <w:rFonts w:ascii="Times New Roman" w:hAnsi="Times New Roman" w:cs="Times New Roman"/>
          <w:sz w:val="24"/>
          <w:szCs w:val="24"/>
        </w:rPr>
        <w:t>.</w:t>
      </w:r>
      <w:r w:rsidRPr="00B22206">
        <w:rPr>
          <w:rFonts w:ascii="Times New Roman" w:hAnsi="Times New Roman" w:cs="Times New Roman"/>
          <w:sz w:val="24"/>
          <w:szCs w:val="24"/>
        </w:rPr>
        <w:t xml:space="preserve"> Since the number of individual with AD is expected to increase considerable in the near future, reliable</w:t>
      </w:r>
      <w:r>
        <w:rPr>
          <w:rFonts w:ascii="Times New Roman" w:hAnsi="Times New Roman" w:cs="Times New Roman"/>
          <w:sz w:val="24"/>
          <w:szCs w:val="24"/>
        </w:rPr>
        <w:t xml:space="preserve"> </w:t>
      </w:r>
      <w:r w:rsidRPr="00B22206">
        <w:rPr>
          <w:rFonts w:ascii="Times New Roman" w:hAnsi="Times New Roman" w:cs="Times New Roman"/>
          <w:sz w:val="24"/>
          <w:szCs w:val="24"/>
        </w:rPr>
        <w:t>treatment and early diagnosis of MCI are critical.</w:t>
      </w:r>
    </w:p>
    <w:p w:rsidR="00B22206" w:rsidRDefault="00B22206" w:rsidP="00833125">
      <w:pPr>
        <w:jc w:val="center"/>
        <w:rPr>
          <w:rFonts w:ascii="Times New Roman" w:hAnsi="Times New Roman" w:cs="Times New Roman"/>
          <w:sz w:val="24"/>
          <w:szCs w:val="24"/>
        </w:rPr>
      </w:pPr>
    </w:p>
    <w:p w:rsidR="00FD5FC0" w:rsidRPr="0073440D" w:rsidRDefault="00FD5FC0" w:rsidP="00B22206">
      <w:pPr>
        <w:rPr>
          <w:rFonts w:ascii="Times New Roman" w:hAnsi="Times New Roman" w:cs="Times New Roman"/>
          <w:b/>
          <w:sz w:val="24"/>
          <w:szCs w:val="24"/>
        </w:rPr>
      </w:pPr>
      <w:r w:rsidRPr="0073440D">
        <w:rPr>
          <w:rFonts w:ascii="Times New Roman" w:hAnsi="Times New Roman" w:cs="Times New Roman"/>
          <w:b/>
          <w:sz w:val="24"/>
          <w:szCs w:val="24"/>
        </w:rPr>
        <w:t>Objectives</w:t>
      </w:r>
    </w:p>
    <w:p w:rsidR="00FD5FC0" w:rsidRDefault="008A6E06" w:rsidP="00B22206">
      <w:pPr>
        <w:jc w:val="both"/>
        <w:rPr>
          <w:rFonts w:ascii="Times New Roman" w:hAnsi="Times New Roman" w:cs="Times New Roman"/>
          <w:sz w:val="24"/>
          <w:szCs w:val="24"/>
        </w:rPr>
      </w:pPr>
      <w:r>
        <w:rPr>
          <w:rFonts w:ascii="Times New Roman" w:hAnsi="Times New Roman" w:cs="Times New Roman"/>
          <w:sz w:val="24"/>
          <w:szCs w:val="24"/>
        </w:rPr>
        <w:t xml:space="preserve">The elderly group within 60-70 years </w:t>
      </w:r>
      <w:r w:rsidR="000944F3">
        <w:rPr>
          <w:rFonts w:ascii="Times New Roman" w:hAnsi="Times New Roman" w:cs="Times New Roman"/>
          <w:sz w:val="24"/>
          <w:szCs w:val="24"/>
        </w:rPr>
        <w:t xml:space="preserve">with MCI </w:t>
      </w:r>
      <w:r>
        <w:rPr>
          <w:rFonts w:ascii="Times New Roman" w:hAnsi="Times New Roman" w:cs="Times New Roman"/>
          <w:sz w:val="24"/>
          <w:szCs w:val="24"/>
        </w:rPr>
        <w:t xml:space="preserve">are at increased risk of developing dementia.  </w:t>
      </w:r>
      <w:r w:rsidR="00B11DEB">
        <w:rPr>
          <w:rFonts w:ascii="Times New Roman" w:hAnsi="Times New Roman" w:cs="Times New Roman"/>
          <w:sz w:val="24"/>
          <w:szCs w:val="24"/>
        </w:rPr>
        <w:t xml:space="preserve">The main objective of this research is to identify and analyse </w:t>
      </w:r>
      <w:r w:rsidR="00FD5FC0" w:rsidRPr="00B22206">
        <w:rPr>
          <w:rFonts w:ascii="Times New Roman" w:hAnsi="Times New Roman" w:cs="Times New Roman"/>
          <w:sz w:val="24"/>
          <w:szCs w:val="24"/>
        </w:rPr>
        <w:t>the Brain dynamic</w:t>
      </w:r>
      <w:r w:rsidR="00020E10">
        <w:rPr>
          <w:rFonts w:ascii="Times New Roman" w:hAnsi="Times New Roman" w:cs="Times New Roman"/>
          <w:sz w:val="24"/>
          <w:szCs w:val="24"/>
        </w:rPr>
        <w:t>s</w:t>
      </w:r>
      <w:r w:rsidR="00FD5FC0" w:rsidRPr="00B22206">
        <w:rPr>
          <w:rFonts w:ascii="Times New Roman" w:hAnsi="Times New Roman" w:cs="Times New Roman"/>
          <w:sz w:val="24"/>
          <w:szCs w:val="24"/>
        </w:rPr>
        <w:t xml:space="preserve"> of MCI from</w:t>
      </w:r>
      <w:r w:rsidR="00B11DEB">
        <w:rPr>
          <w:rFonts w:ascii="Times New Roman" w:hAnsi="Times New Roman" w:cs="Times New Roman"/>
          <w:sz w:val="24"/>
          <w:szCs w:val="24"/>
        </w:rPr>
        <w:t xml:space="preserve"> </w:t>
      </w:r>
      <w:r w:rsidR="00BA0FD5">
        <w:rPr>
          <w:rFonts w:ascii="Times New Roman" w:hAnsi="Times New Roman" w:cs="Times New Roman"/>
          <w:sz w:val="24"/>
          <w:szCs w:val="24"/>
        </w:rPr>
        <w:lastRenderedPageBreak/>
        <w:t xml:space="preserve">the EEG signal features that </w:t>
      </w:r>
      <w:r w:rsidR="00020E10">
        <w:rPr>
          <w:rFonts w:ascii="Times New Roman" w:hAnsi="Times New Roman" w:cs="Times New Roman"/>
          <w:sz w:val="24"/>
          <w:szCs w:val="24"/>
        </w:rPr>
        <w:t>will  contribute</w:t>
      </w:r>
      <w:r w:rsidR="00FD5FC0" w:rsidRPr="00B22206">
        <w:rPr>
          <w:rFonts w:ascii="Times New Roman" w:hAnsi="Times New Roman" w:cs="Times New Roman"/>
          <w:sz w:val="24"/>
          <w:szCs w:val="24"/>
        </w:rPr>
        <w:t xml:space="preserve"> to a better understanding of brain dynamics of MCI patients and the degree of EEG abnormality and cognitive impai</w:t>
      </w:r>
      <w:r w:rsidR="00BA0FD5">
        <w:rPr>
          <w:rFonts w:ascii="Times New Roman" w:hAnsi="Times New Roman" w:cs="Times New Roman"/>
          <w:sz w:val="24"/>
          <w:szCs w:val="24"/>
        </w:rPr>
        <w:t xml:space="preserve">rment.  </w:t>
      </w:r>
      <w:r w:rsidR="00FD5FC0" w:rsidRPr="00B22206">
        <w:rPr>
          <w:rFonts w:ascii="Times New Roman" w:hAnsi="Times New Roman" w:cs="Times New Roman"/>
          <w:sz w:val="24"/>
          <w:szCs w:val="24"/>
        </w:rPr>
        <w:t>Many people with MCI is at the possible risks of developing  dementia,  this approach  allows people to plan ahead while they are still able to do so and can have earlier access to treatments as well as practical information, advice and support.</w:t>
      </w:r>
    </w:p>
    <w:p w:rsidR="005E317A" w:rsidRDefault="005E317A" w:rsidP="00B22206">
      <w:pPr>
        <w:jc w:val="both"/>
        <w:rPr>
          <w:rFonts w:ascii="Times New Roman" w:hAnsi="Times New Roman" w:cs="Times New Roman"/>
          <w:sz w:val="24"/>
          <w:szCs w:val="24"/>
        </w:rPr>
      </w:pPr>
    </w:p>
    <w:p w:rsidR="00E764F8" w:rsidRDefault="00E764F8" w:rsidP="00B22206">
      <w:pPr>
        <w:jc w:val="both"/>
        <w:rPr>
          <w:rFonts w:ascii="Times New Roman" w:hAnsi="Times New Roman" w:cs="Times New Roman"/>
          <w:b/>
          <w:sz w:val="24"/>
          <w:szCs w:val="24"/>
        </w:rPr>
      </w:pPr>
    </w:p>
    <w:p w:rsidR="00E764F8" w:rsidRDefault="00E764F8" w:rsidP="00B22206">
      <w:pPr>
        <w:jc w:val="both"/>
        <w:rPr>
          <w:rFonts w:ascii="Times New Roman" w:hAnsi="Times New Roman" w:cs="Times New Roman"/>
          <w:b/>
          <w:sz w:val="24"/>
          <w:szCs w:val="24"/>
        </w:rPr>
      </w:pPr>
    </w:p>
    <w:p w:rsidR="00914E7B" w:rsidRPr="00E764F8" w:rsidRDefault="00914E7B" w:rsidP="00B22206">
      <w:pPr>
        <w:jc w:val="both"/>
        <w:rPr>
          <w:rFonts w:ascii="Times New Roman" w:hAnsi="Times New Roman" w:cs="Times New Roman"/>
          <w:b/>
          <w:sz w:val="24"/>
          <w:szCs w:val="24"/>
        </w:rPr>
      </w:pPr>
      <w:r w:rsidRPr="00E764F8">
        <w:rPr>
          <w:rFonts w:ascii="Times New Roman" w:hAnsi="Times New Roman" w:cs="Times New Roman"/>
          <w:b/>
          <w:sz w:val="24"/>
          <w:szCs w:val="24"/>
        </w:rPr>
        <w:t>Research Questions</w:t>
      </w:r>
    </w:p>
    <w:p w:rsidR="00914E7B" w:rsidRDefault="00914E7B" w:rsidP="00914E7B">
      <w:pPr>
        <w:pStyle w:val="ListParagraph"/>
        <w:numPr>
          <w:ilvl w:val="0"/>
          <w:numId w:val="4"/>
        </w:numPr>
        <w:jc w:val="both"/>
        <w:rPr>
          <w:rFonts w:ascii="Times New Roman" w:hAnsi="Times New Roman" w:cs="Times New Roman"/>
          <w:sz w:val="24"/>
          <w:szCs w:val="24"/>
        </w:rPr>
      </w:pPr>
      <w:r w:rsidRPr="00914E7B">
        <w:rPr>
          <w:rFonts w:ascii="Times New Roman" w:hAnsi="Times New Roman" w:cs="Times New Roman"/>
          <w:sz w:val="24"/>
          <w:szCs w:val="24"/>
        </w:rPr>
        <w:t>What are the brain dynamics of MCI from EEG features that might display the early signs of cognitive decline?</w:t>
      </w:r>
    </w:p>
    <w:p w:rsidR="00914E7B" w:rsidRPr="00914E7B" w:rsidRDefault="00914E7B" w:rsidP="00B22206">
      <w:pPr>
        <w:pStyle w:val="ListParagraph"/>
        <w:numPr>
          <w:ilvl w:val="0"/>
          <w:numId w:val="4"/>
        </w:numPr>
        <w:jc w:val="both"/>
        <w:rPr>
          <w:rFonts w:ascii="Times New Roman" w:hAnsi="Times New Roman" w:cs="Times New Roman"/>
          <w:sz w:val="24"/>
          <w:szCs w:val="24"/>
        </w:rPr>
      </w:pPr>
      <w:r w:rsidRPr="00914E7B">
        <w:rPr>
          <w:rFonts w:ascii="Times New Roman" w:hAnsi="Times New Roman" w:cs="Times New Roman"/>
          <w:sz w:val="24"/>
          <w:szCs w:val="24"/>
        </w:rPr>
        <w:t xml:space="preserve">Is there any difference in the EEG features of MCI and the Cognitively healthy normal aging group ? </w:t>
      </w:r>
    </w:p>
    <w:p w:rsidR="00CB798C" w:rsidRPr="00E764F8" w:rsidRDefault="00CB798C" w:rsidP="00B22206">
      <w:pPr>
        <w:rPr>
          <w:rFonts w:ascii="Times New Roman" w:hAnsi="Times New Roman" w:cs="Times New Roman"/>
          <w:b/>
          <w:sz w:val="24"/>
          <w:szCs w:val="24"/>
        </w:rPr>
      </w:pPr>
      <w:r w:rsidRPr="00E764F8">
        <w:rPr>
          <w:rFonts w:ascii="Times New Roman" w:hAnsi="Times New Roman" w:cs="Times New Roman"/>
          <w:b/>
          <w:sz w:val="24"/>
          <w:szCs w:val="24"/>
        </w:rPr>
        <w:t>Method</w:t>
      </w:r>
    </w:p>
    <w:p w:rsidR="00156717" w:rsidRDefault="00156717" w:rsidP="00B22206">
      <w:pPr>
        <w:rPr>
          <w:rFonts w:ascii="Times New Roman" w:hAnsi="Times New Roman" w:cs="Times New Roman"/>
          <w:sz w:val="24"/>
          <w:szCs w:val="24"/>
        </w:rPr>
      </w:pPr>
      <w:r>
        <w:rPr>
          <w:rFonts w:ascii="Times New Roman" w:hAnsi="Times New Roman" w:cs="Times New Roman"/>
          <w:sz w:val="24"/>
          <w:szCs w:val="24"/>
        </w:rPr>
        <w:t xml:space="preserve">Materials and Instruments used were Mini mental state examination (MMSE)  for the assessment of subjects’ cognitive status and identifying the symptoms of cognitive disorders.  </w:t>
      </w:r>
    </w:p>
    <w:p w:rsidR="00FD5FC0" w:rsidRPr="00B22206" w:rsidRDefault="00FD5FC0" w:rsidP="00B22206">
      <w:pPr>
        <w:rPr>
          <w:rFonts w:ascii="Times New Roman" w:hAnsi="Times New Roman" w:cs="Times New Roman"/>
          <w:sz w:val="24"/>
          <w:szCs w:val="24"/>
        </w:rPr>
      </w:pPr>
      <w:r w:rsidRPr="00E764F8">
        <w:rPr>
          <w:rFonts w:ascii="Times New Roman" w:hAnsi="Times New Roman" w:cs="Times New Roman"/>
          <w:i/>
          <w:sz w:val="24"/>
          <w:szCs w:val="24"/>
        </w:rPr>
        <w:t>Participants</w:t>
      </w:r>
      <w:r w:rsidRPr="00B22206">
        <w:rPr>
          <w:rFonts w:ascii="Times New Roman" w:hAnsi="Times New Roman" w:cs="Times New Roman"/>
          <w:sz w:val="24"/>
          <w:szCs w:val="24"/>
        </w:rPr>
        <w:t>:</w:t>
      </w:r>
    </w:p>
    <w:p w:rsidR="00504B5B" w:rsidRDefault="00701050" w:rsidP="00B22206">
      <w:pPr>
        <w:jc w:val="both"/>
        <w:rPr>
          <w:rFonts w:ascii="Times New Roman" w:hAnsi="Times New Roman" w:cs="Times New Roman"/>
          <w:sz w:val="24"/>
          <w:szCs w:val="24"/>
        </w:rPr>
      </w:pPr>
      <w:r>
        <w:rPr>
          <w:rFonts w:ascii="Times New Roman" w:hAnsi="Times New Roman" w:cs="Times New Roman"/>
          <w:sz w:val="24"/>
          <w:szCs w:val="24"/>
        </w:rPr>
        <w:t>Twenty</w:t>
      </w:r>
      <w:r w:rsidR="00504B5B">
        <w:rPr>
          <w:rFonts w:ascii="Times New Roman" w:hAnsi="Times New Roman" w:cs="Times New Roman"/>
          <w:sz w:val="24"/>
          <w:szCs w:val="24"/>
        </w:rPr>
        <w:t xml:space="preserve"> </w:t>
      </w:r>
      <w:r w:rsidR="00FD5FC0" w:rsidRPr="00B22206">
        <w:rPr>
          <w:rFonts w:ascii="Times New Roman" w:hAnsi="Times New Roman" w:cs="Times New Roman"/>
          <w:sz w:val="24"/>
          <w:szCs w:val="24"/>
        </w:rPr>
        <w:t xml:space="preserve">subjects </w:t>
      </w:r>
      <w:r w:rsidR="00504B5B">
        <w:rPr>
          <w:rFonts w:ascii="Times New Roman" w:hAnsi="Times New Roman" w:cs="Times New Roman"/>
          <w:sz w:val="24"/>
          <w:szCs w:val="24"/>
        </w:rPr>
        <w:t>volunteered for the research aged within the range of</w:t>
      </w:r>
      <w:r w:rsidR="00F001EF">
        <w:rPr>
          <w:rFonts w:ascii="Times New Roman" w:hAnsi="Times New Roman" w:cs="Times New Roman"/>
          <w:sz w:val="24"/>
          <w:szCs w:val="24"/>
        </w:rPr>
        <w:t xml:space="preserve"> 60-75</w:t>
      </w:r>
      <w:r w:rsidR="00FD5FC0" w:rsidRPr="00B22206">
        <w:rPr>
          <w:rFonts w:ascii="Times New Roman" w:hAnsi="Times New Roman" w:cs="Times New Roman"/>
          <w:sz w:val="24"/>
          <w:szCs w:val="24"/>
        </w:rPr>
        <w:t xml:space="preserve"> years</w:t>
      </w:r>
      <w:r w:rsidR="00504B5B">
        <w:rPr>
          <w:rFonts w:ascii="Times New Roman" w:hAnsi="Times New Roman" w:cs="Times New Roman"/>
          <w:sz w:val="24"/>
          <w:szCs w:val="24"/>
        </w:rPr>
        <w:t xml:space="preserve"> old.  </w:t>
      </w:r>
      <w:r w:rsidR="00FD5FC0" w:rsidRPr="00B22206">
        <w:rPr>
          <w:rFonts w:ascii="Times New Roman" w:hAnsi="Times New Roman" w:cs="Times New Roman"/>
          <w:sz w:val="24"/>
          <w:szCs w:val="24"/>
        </w:rPr>
        <w:t xml:space="preserve">Mini Mental State Examination (MMSE) </w:t>
      </w:r>
      <w:r w:rsidR="00504B5B">
        <w:rPr>
          <w:rFonts w:ascii="Times New Roman" w:hAnsi="Times New Roman" w:cs="Times New Roman"/>
          <w:sz w:val="24"/>
          <w:szCs w:val="24"/>
        </w:rPr>
        <w:t xml:space="preserve">were used </w:t>
      </w:r>
      <w:r w:rsidR="00FD5FC0" w:rsidRPr="00B22206">
        <w:rPr>
          <w:rFonts w:ascii="Times New Roman" w:hAnsi="Times New Roman" w:cs="Times New Roman"/>
          <w:sz w:val="24"/>
          <w:szCs w:val="24"/>
        </w:rPr>
        <w:t>a</w:t>
      </w:r>
      <w:r w:rsidR="005E317A">
        <w:rPr>
          <w:rFonts w:ascii="Times New Roman" w:hAnsi="Times New Roman" w:cs="Times New Roman"/>
          <w:sz w:val="24"/>
          <w:szCs w:val="24"/>
        </w:rPr>
        <w:t>s</w:t>
      </w:r>
      <w:r w:rsidR="00FD5FC0" w:rsidRPr="00B22206">
        <w:rPr>
          <w:rFonts w:ascii="Times New Roman" w:hAnsi="Times New Roman" w:cs="Times New Roman"/>
          <w:sz w:val="24"/>
          <w:szCs w:val="24"/>
        </w:rPr>
        <w:t xml:space="preserve"> screening tool to separate persons with cognitive impa</w:t>
      </w:r>
      <w:r w:rsidR="00746C66">
        <w:rPr>
          <w:rFonts w:ascii="Times New Roman" w:hAnsi="Times New Roman" w:cs="Times New Roman"/>
          <w:sz w:val="24"/>
          <w:szCs w:val="24"/>
        </w:rPr>
        <w:t xml:space="preserve">irment from those without </w:t>
      </w:r>
      <w:r w:rsidR="00504B5B">
        <w:rPr>
          <w:rFonts w:ascii="Times New Roman" w:hAnsi="Times New Roman" w:cs="Times New Roman"/>
          <w:sz w:val="24"/>
          <w:szCs w:val="24"/>
        </w:rPr>
        <w:t>MCI</w:t>
      </w:r>
      <w:r w:rsidR="00746C66">
        <w:rPr>
          <w:rFonts w:ascii="Times New Roman" w:hAnsi="Times New Roman" w:cs="Times New Roman"/>
          <w:sz w:val="24"/>
          <w:szCs w:val="24"/>
        </w:rPr>
        <w:t xml:space="preserve">. </w:t>
      </w:r>
      <w:r w:rsidR="00FD5FC0" w:rsidRPr="00B22206">
        <w:rPr>
          <w:rFonts w:ascii="Times New Roman" w:hAnsi="Times New Roman" w:cs="Times New Roman"/>
          <w:sz w:val="24"/>
          <w:szCs w:val="24"/>
        </w:rPr>
        <w:t xml:space="preserve">MMSE detect cognitive impairment by evaluating orientation, attention, recall, language and ability to follow commands. A score higher than 23 is considered normal, although performance varies with the person’s age and education. </w:t>
      </w:r>
      <w:r>
        <w:rPr>
          <w:rFonts w:ascii="Times New Roman" w:hAnsi="Times New Roman" w:cs="Times New Roman"/>
          <w:sz w:val="24"/>
          <w:szCs w:val="24"/>
        </w:rPr>
        <w:t>The results showed that 14</w:t>
      </w:r>
      <w:r w:rsidR="00504B5B">
        <w:rPr>
          <w:rFonts w:ascii="Times New Roman" w:hAnsi="Times New Roman" w:cs="Times New Roman"/>
          <w:sz w:val="24"/>
          <w:szCs w:val="24"/>
        </w:rPr>
        <w:t xml:space="preserve"> participants were consid</w:t>
      </w:r>
      <w:r>
        <w:rPr>
          <w:rFonts w:ascii="Times New Roman" w:hAnsi="Times New Roman" w:cs="Times New Roman"/>
          <w:sz w:val="24"/>
          <w:szCs w:val="24"/>
        </w:rPr>
        <w:t xml:space="preserve">ered normal aging group whereas 6 </w:t>
      </w:r>
      <w:r w:rsidR="00504B5B">
        <w:rPr>
          <w:rFonts w:ascii="Times New Roman" w:hAnsi="Times New Roman" w:cs="Times New Roman"/>
          <w:sz w:val="24"/>
          <w:szCs w:val="24"/>
        </w:rPr>
        <w:t xml:space="preserve"> MCI with the score below 23</w:t>
      </w:r>
      <w:r>
        <w:rPr>
          <w:rFonts w:ascii="Times New Roman" w:hAnsi="Times New Roman" w:cs="Times New Roman"/>
          <w:sz w:val="24"/>
          <w:szCs w:val="24"/>
        </w:rPr>
        <w:t xml:space="preserve"> .</w:t>
      </w:r>
    </w:p>
    <w:p w:rsidR="00156717" w:rsidRDefault="00156717" w:rsidP="00B22206">
      <w:pPr>
        <w:jc w:val="both"/>
        <w:rPr>
          <w:rFonts w:ascii="Times New Roman" w:hAnsi="Times New Roman" w:cs="Times New Roman"/>
          <w:sz w:val="24"/>
          <w:szCs w:val="24"/>
        </w:rPr>
      </w:pPr>
    </w:p>
    <w:p w:rsidR="00701050" w:rsidRPr="00E764F8" w:rsidRDefault="00701050" w:rsidP="00B22206">
      <w:pPr>
        <w:jc w:val="both"/>
        <w:rPr>
          <w:rFonts w:ascii="Times New Roman" w:hAnsi="Times New Roman" w:cs="Times New Roman"/>
          <w:b/>
          <w:sz w:val="24"/>
          <w:szCs w:val="24"/>
        </w:rPr>
      </w:pPr>
      <w:r w:rsidRPr="00E764F8">
        <w:rPr>
          <w:rFonts w:ascii="Times New Roman" w:hAnsi="Times New Roman" w:cs="Times New Roman"/>
          <w:b/>
          <w:sz w:val="24"/>
          <w:szCs w:val="24"/>
        </w:rPr>
        <w:t>Procedures</w:t>
      </w:r>
    </w:p>
    <w:p w:rsidR="00504B5B" w:rsidRPr="00701050" w:rsidRDefault="00FD5FC0" w:rsidP="00701050">
      <w:pPr>
        <w:pStyle w:val="ListParagraph"/>
        <w:numPr>
          <w:ilvl w:val="0"/>
          <w:numId w:val="2"/>
        </w:numPr>
        <w:jc w:val="both"/>
        <w:rPr>
          <w:rFonts w:ascii="Times New Roman" w:hAnsi="Times New Roman" w:cs="Times New Roman"/>
          <w:sz w:val="24"/>
          <w:szCs w:val="24"/>
        </w:rPr>
      </w:pPr>
      <w:r w:rsidRPr="00701050">
        <w:rPr>
          <w:rFonts w:ascii="Times New Roman" w:hAnsi="Times New Roman" w:cs="Times New Roman"/>
          <w:sz w:val="24"/>
          <w:szCs w:val="24"/>
        </w:rPr>
        <w:t xml:space="preserve">Informed consent </w:t>
      </w:r>
      <w:r w:rsidR="00746C66" w:rsidRPr="00701050">
        <w:rPr>
          <w:rFonts w:ascii="Times New Roman" w:hAnsi="Times New Roman" w:cs="Times New Roman"/>
          <w:sz w:val="24"/>
          <w:szCs w:val="24"/>
        </w:rPr>
        <w:t>were</w:t>
      </w:r>
      <w:r w:rsidRPr="00701050">
        <w:rPr>
          <w:rFonts w:ascii="Times New Roman" w:hAnsi="Times New Roman" w:cs="Times New Roman"/>
          <w:sz w:val="24"/>
          <w:szCs w:val="24"/>
        </w:rPr>
        <w:t xml:space="preserve"> obtained from the participants </w:t>
      </w:r>
      <w:r w:rsidR="00504B5B" w:rsidRPr="00701050">
        <w:rPr>
          <w:rFonts w:ascii="Times New Roman" w:hAnsi="Times New Roman" w:cs="Times New Roman"/>
          <w:sz w:val="24"/>
          <w:szCs w:val="24"/>
        </w:rPr>
        <w:t>before qEEG recordings and screening were done.</w:t>
      </w:r>
      <w:r w:rsidR="00701050" w:rsidRPr="00701050">
        <w:rPr>
          <w:rFonts w:ascii="Times New Roman" w:hAnsi="Times New Roman" w:cs="Times New Roman"/>
          <w:sz w:val="24"/>
          <w:szCs w:val="24"/>
        </w:rPr>
        <w:t xml:space="preserve">  </w:t>
      </w:r>
    </w:p>
    <w:p w:rsidR="00CB798C" w:rsidRPr="00504B5B" w:rsidRDefault="00CB798C" w:rsidP="00701050">
      <w:pPr>
        <w:pStyle w:val="NormalWeb"/>
        <w:numPr>
          <w:ilvl w:val="0"/>
          <w:numId w:val="2"/>
        </w:numPr>
        <w:kinsoku w:val="0"/>
        <w:overflowPunct w:val="0"/>
        <w:spacing w:before="77" w:beforeAutospacing="0" w:after="0" w:afterAutospacing="0"/>
        <w:textAlignment w:val="baseline"/>
      </w:pPr>
      <w:r w:rsidRPr="00504B5B">
        <w:rPr>
          <w:rFonts w:eastAsiaTheme="minorEastAsia"/>
          <w:color w:val="000000" w:themeColor="text1"/>
          <w:kern w:val="24"/>
          <w:lang w:val="ms-MY"/>
        </w:rPr>
        <w:t>EEG recordings from 19 sites using elctrodes set in elastic cap and positioned according to 10-20 International System (Fp1, Fp2, F7, F3, Fz, F4, F8, T3,C3, Cz, C4, T4, T5, P3, Pz, P4, T6, O1, and O2). The ground electrode was placed in front of Fz. The left and right mastoids served as reference for all electrodes. Data were recorded with a band-pass filter of 0.3–70 Hz and digitized at a sampling rate of 250 Hz.</w:t>
      </w:r>
    </w:p>
    <w:p w:rsidR="00504B5B" w:rsidRPr="00701050" w:rsidRDefault="00701050" w:rsidP="00701050">
      <w:pPr>
        <w:pStyle w:val="NormalWeb"/>
        <w:numPr>
          <w:ilvl w:val="0"/>
          <w:numId w:val="2"/>
        </w:numPr>
        <w:kinsoku w:val="0"/>
        <w:overflowPunct w:val="0"/>
        <w:spacing w:before="77" w:beforeAutospacing="0" w:after="0" w:afterAutospacing="0"/>
        <w:textAlignment w:val="baseline"/>
      </w:pPr>
      <w:r>
        <w:rPr>
          <w:rFonts w:eastAsiaTheme="minorEastAsia"/>
          <w:color w:val="000000" w:themeColor="text1"/>
          <w:kern w:val="24"/>
          <w:lang w:val="ms-MY"/>
        </w:rPr>
        <w:t>Eyes closed</w:t>
      </w:r>
      <w:r w:rsidR="00CB798C" w:rsidRPr="00504B5B">
        <w:rPr>
          <w:rFonts w:eastAsiaTheme="minorEastAsia"/>
          <w:color w:val="000000" w:themeColor="text1"/>
          <w:kern w:val="24"/>
          <w:lang w:val="ms-MY"/>
        </w:rPr>
        <w:t xml:space="preserve"> (3 Mins)</w:t>
      </w:r>
    </w:p>
    <w:p w:rsidR="00701050" w:rsidRPr="00701050" w:rsidRDefault="00C55D79" w:rsidP="00701050">
      <w:pPr>
        <w:pStyle w:val="NormalWeb"/>
        <w:numPr>
          <w:ilvl w:val="0"/>
          <w:numId w:val="2"/>
        </w:numPr>
        <w:kinsoku w:val="0"/>
        <w:overflowPunct w:val="0"/>
        <w:spacing w:before="77" w:beforeAutospacing="0" w:after="0" w:afterAutospacing="0"/>
        <w:textAlignment w:val="baseline"/>
      </w:pPr>
      <w:r>
        <w:rPr>
          <w:rFonts w:eastAsiaTheme="minorEastAsia"/>
          <w:color w:val="000000" w:themeColor="text1"/>
          <w:kern w:val="24"/>
          <w:lang w:val="ms-MY"/>
        </w:rPr>
        <w:t>Eyes opened</w:t>
      </w:r>
      <w:r w:rsidR="00701050">
        <w:rPr>
          <w:rFonts w:eastAsiaTheme="minorEastAsia"/>
          <w:color w:val="000000" w:themeColor="text1"/>
          <w:kern w:val="24"/>
          <w:lang w:val="ms-MY"/>
        </w:rPr>
        <w:t xml:space="preserve"> (3 Mins)</w:t>
      </w:r>
    </w:p>
    <w:p w:rsidR="00701050" w:rsidRPr="00156717" w:rsidRDefault="00701050" w:rsidP="00C55D79">
      <w:pPr>
        <w:pStyle w:val="NormalWeb"/>
        <w:kinsoku w:val="0"/>
        <w:overflowPunct w:val="0"/>
        <w:spacing w:before="77" w:beforeAutospacing="0" w:after="0" w:afterAutospacing="0"/>
        <w:ind w:left="360"/>
        <w:textAlignment w:val="baseline"/>
      </w:pPr>
    </w:p>
    <w:p w:rsidR="00156717" w:rsidRDefault="00156717" w:rsidP="00156717">
      <w:pPr>
        <w:pStyle w:val="NormalWeb"/>
        <w:kinsoku w:val="0"/>
        <w:overflowPunct w:val="0"/>
        <w:spacing w:before="77" w:beforeAutospacing="0" w:after="0" w:afterAutospacing="0"/>
        <w:textAlignment w:val="baseline"/>
        <w:rPr>
          <w:rFonts w:eastAsiaTheme="minorEastAsia"/>
          <w:color w:val="000000" w:themeColor="text1"/>
          <w:kern w:val="24"/>
          <w:lang w:val="ms-MY"/>
        </w:rPr>
      </w:pPr>
    </w:p>
    <w:p w:rsidR="00701050" w:rsidRDefault="00701050" w:rsidP="00701050">
      <w:pPr>
        <w:pStyle w:val="NormalWeb"/>
        <w:kinsoku w:val="0"/>
        <w:overflowPunct w:val="0"/>
        <w:spacing w:before="77" w:beforeAutospacing="0" w:after="0" w:afterAutospacing="0"/>
        <w:ind w:left="1080"/>
        <w:textAlignment w:val="baseline"/>
      </w:pPr>
    </w:p>
    <w:p w:rsidR="00156717" w:rsidRDefault="00CB798C" w:rsidP="00CB798C">
      <w:pPr>
        <w:pStyle w:val="NormalWeb"/>
        <w:kinsoku w:val="0"/>
        <w:overflowPunct w:val="0"/>
        <w:spacing w:before="77" w:beforeAutospacing="0" w:after="0" w:afterAutospacing="0"/>
        <w:textAlignment w:val="baseline"/>
        <w:rPr>
          <w:rFonts w:eastAsiaTheme="minorEastAsia"/>
          <w:color w:val="000000" w:themeColor="text1"/>
          <w:kern w:val="24"/>
          <w:lang w:val="ms-MY"/>
        </w:rPr>
      </w:pPr>
      <w:r w:rsidRPr="00504B5B">
        <w:rPr>
          <w:rFonts w:eastAsiaTheme="minorEastAsia"/>
          <w:color w:val="000000" w:themeColor="text1"/>
          <w:kern w:val="24"/>
          <w:lang w:val="ms-MY"/>
        </w:rPr>
        <w:t>Analysis o</w:t>
      </w:r>
      <w:r w:rsidR="00156717">
        <w:rPr>
          <w:rFonts w:eastAsiaTheme="minorEastAsia"/>
          <w:color w:val="000000" w:themeColor="text1"/>
          <w:kern w:val="24"/>
          <w:lang w:val="ms-MY"/>
        </w:rPr>
        <w:t>f of Individual Frequency bands</w:t>
      </w:r>
    </w:p>
    <w:p w:rsidR="00E56BD8" w:rsidRDefault="00E56BD8" w:rsidP="00CB798C">
      <w:pPr>
        <w:pStyle w:val="NormalWeb"/>
        <w:kinsoku w:val="0"/>
        <w:overflowPunct w:val="0"/>
        <w:spacing w:before="77" w:beforeAutospacing="0" w:after="0" w:afterAutospacing="0"/>
        <w:textAlignment w:val="baseline"/>
        <w:rPr>
          <w:rFonts w:eastAsiaTheme="minorEastAsia"/>
          <w:color w:val="000000" w:themeColor="text1"/>
          <w:kern w:val="24"/>
          <w:lang w:val="ms-MY"/>
        </w:rPr>
      </w:pPr>
    </w:p>
    <w:p w:rsidR="00E56BD8" w:rsidRPr="00504B5B" w:rsidRDefault="00E56BD8" w:rsidP="00E56BD8">
      <w:pPr>
        <w:pStyle w:val="NormalWeb"/>
        <w:kinsoku w:val="0"/>
        <w:overflowPunct w:val="0"/>
        <w:spacing w:before="77" w:beforeAutospacing="0" w:after="0" w:afterAutospacing="0"/>
        <w:textAlignment w:val="baseline"/>
        <w:rPr>
          <w:rFonts w:eastAsiaTheme="minorEastAsia"/>
          <w:color w:val="000000" w:themeColor="text1"/>
          <w:kern w:val="24"/>
        </w:rPr>
      </w:pPr>
      <w:r w:rsidRPr="00046005">
        <w:t xml:space="preserve">The spectral analysis </w:t>
      </w:r>
      <w:r>
        <w:t xml:space="preserve">for the four EEG bands </w:t>
      </w:r>
      <w:r w:rsidRPr="00046005">
        <w:t xml:space="preserve">were imported into Microsoft excels for computation of z scores for each of </w:t>
      </w:r>
      <w:proofErr w:type="gramStart"/>
      <w:r w:rsidRPr="00046005">
        <w:t>the  measurements</w:t>
      </w:r>
      <w:proofErr w:type="gramEnd"/>
      <w:r w:rsidRPr="00046005">
        <w:t xml:space="preserve"> used in QEEG such as absolute power (uV^2 ), frequency (Hz) and symmetry.</w:t>
      </w:r>
      <w:r>
        <w:t xml:space="preserve">  The z scores were computed from the mean of </w:t>
      </w:r>
      <w:r w:rsidRPr="00046005">
        <w:t>absolute power (uV^2</w:t>
      </w:r>
      <w:r>
        <w:t xml:space="preserve">), and </w:t>
      </w:r>
      <w:r w:rsidRPr="00046005">
        <w:t>to</w:t>
      </w:r>
      <w:r>
        <w:t xml:space="preserve"> be</w:t>
      </w:r>
      <w:r w:rsidRPr="00046005">
        <w:t xml:space="preserve"> compare</w:t>
      </w:r>
      <w:r>
        <w:t>d across</w:t>
      </w:r>
      <w:r w:rsidRPr="00046005">
        <w:t xml:space="preserve"> the  different normally distributed sets of data from the international 10/20 system (Fp1,Fp2,Fp3, </w:t>
      </w:r>
      <w:proofErr w:type="spellStart"/>
      <w:r w:rsidRPr="00046005">
        <w:t>Fz</w:t>
      </w:r>
      <w:proofErr w:type="spellEnd"/>
      <w:r w:rsidRPr="00046005">
        <w:t xml:space="preserve">, Fp4, F7, F8, C3, </w:t>
      </w:r>
      <w:proofErr w:type="spellStart"/>
      <w:r w:rsidRPr="00046005">
        <w:t>Cz</w:t>
      </w:r>
      <w:proofErr w:type="spellEnd"/>
      <w:r w:rsidRPr="00046005">
        <w:t>, C4 ,P3, P4, T</w:t>
      </w:r>
      <w:r>
        <w:t xml:space="preserve">3, T4, T5, T6,O1,O2) from the two groups (Normal </w:t>
      </w:r>
      <w:proofErr w:type="spellStart"/>
      <w:r>
        <w:t>vs</w:t>
      </w:r>
      <w:proofErr w:type="spellEnd"/>
      <w:r>
        <w:t xml:space="preserve"> MCI)</w:t>
      </w:r>
      <w:r w:rsidRPr="00046005">
        <w:t xml:space="preserve">. The Z value indicates how “deviant” an individual’s score is from the mean. In the case of </w:t>
      </w:r>
      <w:proofErr w:type="spellStart"/>
      <w:r w:rsidRPr="00046005">
        <w:t>qEEG</w:t>
      </w:r>
      <w:proofErr w:type="spellEnd"/>
      <w:r w:rsidRPr="00046005">
        <w:t xml:space="preserve"> data, the Z-score indicates whether there is deficient or excessive activity in a given frequency for a given electrode (or group of electrodes).  </w:t>
      </w:r>
    </w:p>
    <w:p w:rsidR="00CB798C" w:rsidRDefault="00CB798C" w:rsidP="00156717">
      <w:pPr>
        <w:pStyle w:val="NormalWeb"/>
        <w:kinsoku w:val="0"/>
        <w:overflowPunct w:val="0"/>
        <w:spacing w:before="77" w:beforeAutospacing="0" w:after="0" w:afterAutospacing="0"/>
        <w:textAlignment w:val="baseline"/>
        <w:rPr>
          <w:rFonts w:eastAsiaTheme="minorEastAsia"/>
          <w:color w:val="000000" w:themeColor="text1"/>
          <w:kern w:val="24"/>
        </w:rPr>
      </w:pPr>
      <w:r w:rsidRPr="00504B5B">
        <w:rPr>
          <w:rFonts w:eastAsiaTheme="minorEastAsia"/>
          <w:color w:val="000000" w:themeColor="text1"/>
          <w:kern w:val="24"/>
        </w:rPr>
        <w:t xml:space="preserve">. </w:t>
      </w:r>
    </w:p>
    <w:p w:rsidR="00E56BD8" w:rsidRPr="00E764F8" w:rsidRDefault="00E56BD8" w:rsidP="00156717">
      <w:pPr>
        <w:pStyle w:val="NormalWeb"/>
        <w:kinsoku w:val="0"/>
        <w:overflowPunct w:val="0"/>
        <w:spacing w:before="77" w:beforeAutospacing="0" w:after="0" w:afterAutospacing="0"/>
        <w:textAlignment w:val="baseline"/>
        <w:rPr>
          <w:rFonts w:eastAsiaTheme="minorEastAsia"/>
          <w:b/>
          <w:color w:val="000000" w:themeColor="text1"/>
          <w:kern w:val="24"/>
        </w:rPr>
      </w:pPr>
      <w:r w:rsidRPr="00E764F8">
        <w:rPr>
          <w:rFonts w:eastAsiaTheme="minorEastAsia"/>
          <w:b/>
          <w:color w:val="000000" w:themeColor="text1"/>
          <w:kern w:val="24"/>
        </w:rPr>
        <w:t>Results and discussion</w:t>
      </w:r>
    </w:p>
    <w:p w:rsidR="002B777E" w:rsidRDefault="002B777E" w:rsidP="00156717">
      <w:pPr>
        <w:pStyle w:val="NormalWeb"/>
        <w:kinsoku w:val="0"/>
        <w:overflowPunct w:val="0"/>
        <w:spacing w:before="77" w:beforeAutospacing="0" w:after="0" w:afterAutospacing="0"/>
        <w:textAlignment w:val="baseline"/>
        <w:rPr>
          <w:rFonts w:eastAsiaTheme="minorEastAsia"/>
          <w:color w:val="000000" w:themeColor="text1"/>
          <w:kern w:val="24"/>
        </w:rPr>
      </w:pPr>
    </w:p>
    <w:p w:rsidR="0004688C" w:rsidRDefault="005E317A" w:rsidP="005E317A">
      <w:pPr>
        <w:shd w:val="clear" w:color="auto" w:fill="FFFFFF"/>
        <w:spacing w:after="120" w:line="270" w:lineRule="atLeast"/>
        <w:rPr>
          <w:rFonts w:ascii="Arial" w:eastAsia="Times New Roman" w:hAnsi="Arial" w:cs="Arial"/>
          <w:color w:val="000000"/>
          <w:sz w:val="20"/>
          <w:szCs w:val="20"/>
        </w:rPr>
      </w:pPr>
      <w:r w:rsidRPr="002E6EF8">
        <w:rPr>
          <w:rFonts w:ascii="Arial" w:eastAsia="Times New Roman" w:hAnsi="Arial" w:cs="Arial"/>
          <w:color w:val="000000"/>
          <w:sz w:val="20"/>
          <w:szCs w:val="20"/>
        </w:rPr>
        <w:t>The mean values of absolute amplitude power (microV) and the mean Z scores were ob</w:t>
      </w:r>
      <w:r w:rsidR="00F96D9B">
        <w:rPr>
          <w:rFonts w:ascii="Arial" w:eastAsia="Times New Roman" w:hAnsi="Arial" w:cs="Arial"/>
          <w:color w:val="000000"/>
          <w:sz w:val="20"/>
          <w:szCs w:val="20"/>
        </w:rPr>
        <w:t xml:space="preserve">tained in theta </w:t>
      </w:r>
      <w:r w:rsidRPr="002E6EF8">
        <w:rPr>
          <w:rFonts w:ascii="Arial" w:eastAsia="Times New Roman" w:hAnsi="Arial" w:cs="Arial"/>
          <w:color w:val="000000"/>
          <w:sz w:val="20"/>
          <w:szCs w:val="20"/>
        </w:rPr>
        <w:t xml:space="preserve"> (4.0-6.0 Hz),  alpha 1 (8.0-10.5 Hz), alpha 2 (10.5-13.0 Hz), beta 1 (13.0-20.0 Hz), and beta 2 (20.0-40.0 Hz) frequency bands respectively. The main findings </w:t>
      </w:r>
      <w:r w:rsidR="007F1155">
        <w:rPr>
          <w:rFonts w:ascii="Arial" w:eastAsia="Times New Roman" w:hAnsi="Arial" w:cs="Arial"/>
          <w:color w:val="000000"/>
          <w:sz w:val="20"/>
          <w:szCs w:val="20"/>
        </w:rPr>
        <w:t xml:space="preserve">indicates  greater </w:t>
      </w:r>
      <w:r w:rsidRPr="002E6EF8">
        <w:rPr>
          <w:rFonts w:ascii="Arial" w:eastAsia="Times New Roman" w:hAnsi="Arial" w:cs="Arial"/>
          <w:color w:val="000000"/>
          <w:sz w:val="20"/>
          <w:szCs w:val="20"/>
        </w:rPr>
        <w:t>Beta</w:t>
      </w:r>
      <w:r w:rsidR="007F1155">
        <w:rPr>
          <w:rFonts w:ascii="Arial" w:eastAsia="Times New Roman" w:hAnsi="Arial" w:cs="Arial"/>
          <w:color w:val="000000"/>
          <w:sz w:val="20"/>
          <w:szCs w:val="20"/>
        </w:rPr>
        <w:t xml:space="preserve"> 1 and beta 2 power </w:t>
      </w:r>
      <w:r w:rsidRPr="002E6EF8">
        <w:rPr>
          <w:rFonts w:ascii="Arial" w:eastAsia="Times New Roman" w:hAnsi="Arial" w:cs="Arial"/>
          <w:color w:val="000000"/>
          <w:sz w:val="20"/>
          <w:szCs w:val="20"/>
        </w:rPr>
        <w:t xml:space="preserve"> in </w:t>
      </w:r>
      <w:r w:rsidR="00B9114D">
        <w:rPr>
          <w:rFonts w:ascii="Arial" w:eastAsia="Times New Roman" w:hAnsi="Arial" w:cs="Arial"/>
          <w:color w:val="000000"/>
          <w:sz w:val="20"/>
          <w:szCs w:val="20"/>
        </w:rPr>
        <w:t xml:space="preserve">MCI subjects </w:t>
      </w:r>
      <w:r w:rsidRPr="002E6EF8">
        <w:rPr>
          <w:rFonts w:ascii="Arial" w:eastAsia="Times New Roman" w:hAnsi="Arial" w:cs="Arial"/>
          <w:color w:val="000000"/>
          <w:sz w:val="20"/>
          <w:szCs w:val="20"/>
        </w:rPr>
        <w:t xml:space="preserve">with </w:t>
      </w:r>
      <w:r w:rsidR="00B9114D">
        <w:rPr>
          <w:rFonts w:ascii="Arial" w:eastAsia="Times New Roman" w:hAnsi="Arial" w:cs="Arial"/>
          <w:color w:val="000000"/>
          <w:sz w:val="20"/>
          <w:szCs w:val="20"/>
        </w:rPr>
        <w:t xml:space="preserve">cognitive deficits </w:t>
      </w:r>
      <w:r w:rsidRPr="002E6EF8">
        <w:rPr>
          <w:rFonts w:ascii="Arial" w:eastAsia="Times New Roman" w:hAnsi="Arial" w:cs="Arial"/>
          <w:color w:val="000000"/>
          <w:sz w:val="20"/>
          <w:szCs w:val="20"/>
        </w:rPr>
        <w:t xml:space="preserve">than in normal </w:t>
      </w:r>
      <w:r w:rsidR="00201C5A">
        <w:rPr>
          <w:rFonts w:ascii="Arial" w:eastAsia="Times New Roman" w:hAnsi="Arial" w:cs="Arial"/>
          <w:color w:val="000000"/>
          <w:sz w:val="20"/>
          <w:szCs w:val="20"/>
        </w:rPr>
        <w:t>healthy aging group</w:t>
      </w:r>
      <w:r w:rsidR="00DA4CDA">
        <w:rPr>
          <w:rFonts w:ascii="Arial" w:eastAsia="Times New Roman" w:hAnsi="Arial" w:cs="Arial"/>
          <w:color w:val="000000"/>
          <w:sz w:val="20"/>
          <w:szCs w:val="20"/>
        </w:rPr>
        <w:t>,   Beta 2 showed greater predominance over</w:t>
      </w:r>
      <w:r w:rsidR="00201C5A">
        <w:rPr>
          <w:rFonts w:ascii="Arial" w:eastAsia="Times New Roman" w:hAnsi="Arial" w:cs="Arial"/>
          <w:color w:val="000000"/>
          <w:sz w:val="20"/>
          <w:szCs w:val="20"/>
        </w:rPr>
        <w:t xml:space="preserve"> the frontal regions</w:t>
      </w:r>
      <w:r w:rsidR="00DA4CDA">
        <w:rPr>
          <w:rFonts w:ascii="Arial" w:eastAsia="Times New Roman" w:hAnsi="Arial" w:cs="Arial"/>
          <w:color w:val="000000"/>
          <w:sz w:val="20"/>
          <w:szCs w:val="20"/>
        </w:rPr>
        <w:t xml:space="preserve"> (FP1,FP2. F3, F4, F8)   </w:t>
      </w:r>
      <w:r w:rsidR="00201C5A">
        <w:rPr>
          <w:rFonts w:ascii="Arial" w:eastAsia="Times New Roman" w:hAnsi="Arial" w:cs="Arial"/>
          <w:color w:val="000000"/>
          <w:sz w:val="20"/>
          <w:szCs w:val="20"/>
        </w:rPr>
        <w:t xml:space="preserve"> temporal </w:t>
      </w:r>
      <w:r w:rsidR="00DA4CDA">
        <w:rPr>
          <w:rFonts w:ascii="Arial" w:eastAsia="Times New Roman" w:hAnsi="Arial" w:cs="Arial"/>
          <w:color w:val="000000"/>
          <w:sz w:val="20"/>
          <w:szCs w:val="20"/>
        </w:rPr>
        <w:t xml:space="preserve">region (T3,T4,T6) </w:t>
      </w:r>
      <w:r w:rsidR="00201C5A">
        <w:rPr>
          <w:rFonts w:ascii="Arial" w:eastAsia="Times New Roman" w:hAnsi="Arial" w:cs="Arial"/>
          <w:color w:val="000000"/>
          <w:sz w:val="20"/>
          <w:szCs w:val="20"/>
        </w:rPr>
        <w:t xml:space="preserve">and </w:t>
      </w:r>
      <w:r w:rsidR="00DA4CDA">
        <w:rPr>
          <w:rFonts w:ascii="Arial" w:eastAsia="Times New Roman" w:hAnsi="Arial" w:cs="Arial"/>
          <w:color w:val="000000"/>
          <w:sz w:val="20"/>
          <w:szCs w:val="20"/>
        </w:rPr>
        <w:t xml:space="preserve">parietal (P3, P4) </w:t>
      </w:r>
      <w:r w:rsidR="00760739">
        <w:rPr>
          <w:rFonts w:ascii="Arial" w:eastAsia="Times New Roman" w:hAnsi="Arial" w:cs="Arial"/>
          <w:color w:val="000000"/>
          <w:sz w:val="20"/>
          <w:szCs w:val="20"/>
        </w:rPr>
        <w:t>s</w:t>
      </w:r>
      <w:r w:rsidR="0004688C">
        <w:rPr>
          <w:rFonts w:ascii="Arial" w:eastAsia="Times New Roman" w:hAnsi="Arial" w:cs="Arial"/>
          <w:color w:val="000000"/>
          <w:sz w:val="20"/>
          <w:szCs w:val="20"/>
        </w:rPr>
        <w:t>hown in Fig.1</w:t>
      </w:r>
      <w:r w:rsidR="00760739">
        <w:rPr>
          <w:rFonts w:ascii="Arial" w:eastAsia="Times New Roman" w:hAnsi="Arial" w:cs="Arial"/>
          <w:color w:val="000000"/>
          <w:sz w:val="20"/>
          <w:szCs w:val="20"/>
        </w:rPr>
        <w:t>a</w:t>
      </w:r>
    </w:p>
    <w:p w:rsidR="0004688C" w:rsidRDefault="00DA4CDA" w:rsidP="005E317A">
      <w:pPr>
        <w:shd w:val="clear" w:color="auto" w:fill="FFFFFF"/>
        <w:spacing w:after="120"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DA4CDA" w:rsidRDefault="0093256B" w:rsidP="0004688C">
      <w:pPr>
        <w:shd w:val="clear" w:color="auto" w:fill="FFFFFF"/>
        <w:spacing w:after="120" w:line="270" w:lineRule="atLeast"/>
        <w:jc w:val="center"/>
        <w:rPr>
          <w:rFonts w:ascii="Arial" w:eastAsia="Times New Roman" w:hAnsi="Arial" w:cs="Arial"/>
          <w:color w:val="000000"/>
          <w:sz w:val="20"/>
          <w:szCs w:val="20"/>
        </w:rPr>
      </w:pPr>
      <w:r w:rsidRPr="007E2309">
        <w:rPr>
          <w:noProof/>
          <w:lang w:val="en-MY" w:eastAsia="en-MY"/>
        </w:rPr>
        <w:drawing>
          <wp:inline distT="0" distB="0" distL="0" distR="0" wp14:anchorId="18F83CF5" wp14:editId="06473A4E">
            <wp:extent cx="4248150" cy="17430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4CDA" w:rsidRDefault="0070402A" w:rsidP="005E317A">
      <w:pPr>
        <w:shd w:val="clear" w:color="auto" w:fill="FFFFFF"/>
        <w:spacing w:after="120"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Figure 1</w:t>
      </w:r>
      <w:r w:rsidR="00693FF7">
        <w:rPr>
          <w:rFonts w:ascii="Arial" w:eastAsia="Times New Roman" w:hAnsi="Arial" w:cs="Arial"/>
          <w:color w:val="000000"/>
          <w:sz w:val="20"/>
          <w:szCs w:val="20"/>
        </w:rPr>
        <w:t xml:space="preserve">a </w:t>
      </w:r>
      <w:r>
        <w:rPr>
          <w:rFonts w:ascii="Arial" w:eastAsia="Times New Roman" w:hAnsi="Arial" w:cs="Arial"/>
          <w:color w:val="000000"/>
          <w:sz w:val="20"/>
          <w:szCs w:val="20"/>
        </w:rPr>
        <w:t xml:space="preserve"> </w:t>
      </w:r>
      <w:r w:rsidR="0093256B">
        <w:rPr>
          <w:rFonts w:ascii="Arial" w:eastAsia="Times New Roman" w:hAnsi="Arial" w:cs="Arial"/>
          <w:color w:val="000000"/>
          <w:sz w:val="20"/>
          <w:szCs w:val="20"/>
        </w:rPr>
        <w:t xml:space="preserve">Z score of </w:t>
      </w:r>
      <w:r>
        <w:rPr>
          <w:rFonts w:ascii="Arial" w:eastAsia="Times New Roman" w:hAnsi="Arial" w:cs="Arial"/>
          <w:color w:val="000000"/>
          <w:sz w:val="20"/>
          <w:szCs w:val="20"/>
        </w:rPr>
        <w:t xml:space="preserve"> Beta 2</w:t>
      </w:r>
      <w:r w:rsidR="000A0397">
        <w:rPr>
          <w:rFonts w:ascii="Arial" w:eastAsia="Times New Roman" w:hAnsi="Arial" w:cs="Arial"/>
          <w:color w:val="000000"/>
          <w:sz w:val="20"/>
          <w:szCs w:val="20"/>
        </w:rPr>
        <w:t xml:space="preserve"> (EC resting state)</w:t>
      </w:r>
    </w:p>
    <w:p w:rsidR="00DA4CDA" w:rsidRDefault="00DA4CDA" w:rsidP="005E317A">
      <w:pPr>
        <w:shd w:val="clear" w:color="auto" w:fill="FFFFFF"/>
        <w:spacing w:after="120" w:line="270" w:lineRule="atLeast"/>
        <w:rPr>
          <w:rFonts w:ascii="Arial" w:eastAsia="Times New Roman" w:hAnsi="Arial" w:cs="Arial"/>
          <w:color w:val="000000"/>
          <w:sz w:val="20"/>
          <w:szCs w:val="20"/>
        </w:rPr>
      </w:pPr>
    </w:p>
    <w:p w:rsidR="00E50565" w:rsidRDefault="0070402A" w:rsidP="0044174C">
      <w:pPr>
        <w:shd w:val="clear" w:color="auto" w:fill="FFFFFF"/>
        <w:spacing w:after="120" w:line="270" w:lineRule="atLeast"/>
        <w:rPr>
          <w:rFonts w:ascii="Arial" w:eastAsia="Times New Roman" w:hAnsi="Arial" w:cs="Arial"/>
          <w:color w:val="000000"/>
          <w:sz w:val="20"/>
          <w:szCs w:val="20"/>
        </w:rPr>
      </w:pPr>
      <w:r>
        <w:rPr>
          <w:rFonts w:ascii="Arial" w:eastAsia="Times New Roman" w:hAnsi="Arial" w:cs="Arial"/>
          <w:color w:val="000000"/>
          <w:sz w:val="20"/>
          <w:szCs w:val="20"/>
        </w:rPr>
        <w:t>T</w:t>
      </w:r>
      <w:r w:rsidR="005E317A" w:rsidRPr="002E6EF8">
        <w:rPr>
          <w:rFonts w:ascii="Arial" w:eastAsia="Times New Roman" w:hAnsi="Arial" w:cs="Arial"/>
          <w:color w:val="000000"/>
          <w:sz w:val="20"/>
          <w:szCs w:val="20"/>
        </w:rPr>
        <w:t>he increase of beta 2 power</w:t>
      </w:r>
      <w:r>
        <w:rPr>
          <w:rFonts w:ascii="Arial" w:eastAsia="Times New Roman" w:hAnsi="Arial" w:cs="Arial"/>
          <w:color w:val="000000"/>
          <w:sz w:val="20"/>
          <w:szCs w:val="20"/>
        </w:rPr>
        <w:t xml:space="preserve"> </w:t>
      </w:r>
      <w:r w:rsidR="005E317A" w:rsidRPr="002E6EF8">
        <w:rPr>
          <w:rFonts w:ascii="Arial" w:eastAsia="Times New Roman" w:hAnsi="Arial" w:cs="Arial"/>
          <w:color w:val="000000"/>
          <w:sz w:val="20"/>
          <w:szCs w:val="20"/>
        </w:rPr>
        <w:t xml:space="preserve">over the frontal region </w:t>
      </w:r>
      <w:r w:rsidR="003F0680">
        <w:rPr>
          <w:rFonts w:ascii="Arial" w:eastAsia="Times New Roman" w:hAnsi="Arial" w:cs="Arial"/>
          <w:color w:val="000000"/>
          <w:sz w:val="20"/>
          <w:szCs w:val="20"/>
        </w:rPr>
        <w:t>, highest at Fp1 and F8  with the right predominance at the anterior region distinguised the level of anxiety among the MCI in comparison with the  healthy elderly,</w:t>
      </w:r>
      <w:r w:rsidR="005E317A" w:rsidRPr="002E6EF8">
        <w:rPr>
          <w:rFonts w:ascii="Arial" w:eastAsia="Times New Roman" w:hAnsi="Arial" w:cs="Arial"/>
          <w:color w:val="000000"/>
          <w:sz w:val="20"/>
          <w:szCs w:val="20"/>
        </w:rPr>
        <w:t xml:space="preserve"> </w:t>
      </w:r>
      <w:r w:rsidR="0044174C">
        <w:rPr>
          <w:rFonts w:ascii="Arial" w:eastAsia="Times New Roman" w:hAnsi="Arial" w:cs="Arial"/>
          <w:color w:val="000000"/>
          <w:sz w:val="20"/>
          <w:szCs w:val="20"/>
        </w:rPr>
        <w:t xml:space="preserve"> </w:t>
      </w:r>
      <w:r w:rsidR="0093256B">
        <w:rPr>
          <w:rFonts w:ascii="Arial" w:eastAsia="Times New Roman" w:hAnsi="Arial" w:cs="Arial"/>
          <w:color w:val="000000"/>
          <w:sz w:val="20"/>
          <w:szCs w:val="20"/>
        </w:rPr>
        <w:t xml:space="preserve">Both groups </w:t>
      </w:r>
      <w:r w:rsidR="0044174C">
        <w:rPr>
          <w:rFonts w:ascii="Arial" w:eastAsia="Times New Roman" w:hAnsi="Arial" w:cs="Arial"/>
          <w:color w:val="000000"/>
          <w:sz w:val="20"/>
          <w:szCs w:val="20"/>
        </w:rPr>
        <w:t>showed higher</w:t>
      </w:r>
      <w:r w:rsidR="0093256B">
        <w:rPr>
          <w:rFonts w:ascii="Arial" w:eastAsia="Times New Roman" w:hAnsi="Arial" w:cs="Arial"/>
          <w:color w:val="000000"/>
          <w:sz w:val="20"/>
          <w:szCs w:val="20"/>
        </w:rPr>
        <w:t xml:space="preserve"> beta2 at </w:t>
      </w:r>
      <w:r w:rsidR="0044174C">
        <w:rPr>
          <w:rFonts w:ascii="Arial" w:eastAsia="Times New Roman" w:hAnsi="Arial" w:cs="Arial"/>
          <w:color w:val="000000"/>
          <w:sz w:val="20"/>
          <w:szCs w:val="20"/>
        </w:rPr>
        <w:t xml:space="preserve">frontal and temporoparietal regions </w:t>
      </w:r>
      <w:r w:rsidR="005E317A" w:rsidRPr="002E6EF8">
        <w:rPr>
          <w:rFonts w:ascii="Arial" w:eastAsia="Times New Roman" w:hAnsi="Arial" w:cs="Arial"/>
          <w:color w:val="000000"/>
          <w:sz w:val="20"/>
          <w:szCs w:val="20"/>
        </w:rPr>
        <w:t>than th</w:t>
      </w:r>
      <w:r w:rsidR="0044174C">
        <w:rPr>
          <w:rFonts w:ascii="Arial" w:eastAsia="Times New Roman" w:hAnsi="Arial" w:cs="Arial"/>
          <w:color w:val="000000"/>
          <w:sz w:val="20"/>
          <w:szCs w:val="20"/>
        </w:rPr>
        <w:t xml:space="preserve">e normal controls in each band. </w:t>
      </w:r>
      <w:r w:rsidR="00E50565">
        <w:rPr>
          <w:rFonts w:ascii="Arial" w:eastAsia="Times New Roman" w:hAnsi="Arial" w:cs="Arial"/>
          <w:color w:val="000000"/>
          <w:sz w:val="20"/>
          <w:szCs w:val="20"/>
        </w:rPr>
        <w:t xml:space="preserve">Previous research by Yamada et al </w:t>
      </w:r>
      <w:r w:rsidR="00E764F8">
        <w:rPr>
          <w:rFonts w:ascii="Arial" w:eastAsia="Times New Roman" w:hAnsi="Arial" w:cs="Arial"/>
          <w:color w:val="000000"/>
          <w:sz w:val="20"/>
          <w:szCs w:val="20"/>
        </w:rPr>
        <w:t>[10]</w:t>
      </w:r>
      <w:r w:rsidR="00E50565">
        <w:rPr>
          <w:rFonts w:ascii="Arial" w:eastAsia="Times New Roman" w:hAnsi="Arial" w:cs="Arial"/>
          <w:color w:val="000000"/>
          <w:sz w:val="20"/>
          <w:szCs w:val="20"/>
        </w:rPr>
        <w:t xml:space="preserve"> associated the increase of beta 2 power with anxiety type depression in their study of EEG power and coherence among the presenile and senile depression.  </w:t>
      </w:r>
      <w:r w:rsidR="00176FD8" w:rsidRPr="002E6EF8">
        <w:rPr>
          <w:rFonts w:ascii="Arial" w:eastAsia="Times New Roman" w:hAnsi="Arial" w:cs="Arial"/>
          <w:color w:val="000000"/>
          <w:sz w:val="20"/>
          <w:szCs w:val="20"/>
        </w:rPr>
        <w:t>The anxiety type was distinguished from the retardation type with the increase of beta 2 power.</w:t>
      </w:r>
    </w:p>
    <w:p w:rsidR="00E50565" w:rsidRDefault="000417C2" w:rsidP="000417C2">
      <w:pPr>
        <w:pStyle w:val="NormalWeb"/>
        <w:kinsoku w:val="0"/>
        <w:overflowPunct w:val="0"/>
        <w:spacing w:before="77" w:beforeAutospacing="0" w:after="0" w:afterAutospacing="0"/>
        <w:jc w:val="center"/>
        <w:textAlignment w:val="baseline"/>
        <w:rPr>
          <w:rFonts w:eastAsiaTheme="minorEastAsia"/>
          <w:color w:val="000000" w:themeColor="text1"/>
          <w:kern w:val="24"/>
        </w:rPr>
      </w:pPr>
      <w:r>
        <w:rPr>
          <w:noProof/>
          <w:lang w:val="en-MY" w:eastAsia="en-MY"/>
        </w:rPr>
        <w:lastRenderedPageBreak/>
        <w:drawing>
          <wp:inline distT="0" distB="0" distL="0" distR="0" wp14:anchorId="667791A2" wp14:editId="15037D3D">
            <wp:extent cx="4055745" cy="2016125"/>
            <wp:effectExtent l="0" t="0" r="190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B777E">
        <w:rPr>
          <w:rFonts w:eastAsiaTheme="minorEastAsia"/>
          <w:color w:val="000000" w:themeColor="text1"/>
          <w:kern w:val="24"/>
        </w:rPr>
        <w:br w:type="textWrapping" w:clear="all"/>
      </w:r>
    </w:p>
    <w:p w:rsidR="002B777E" w:rsidRDefault="0044174C" w:rsidP="002B777E">
      <w:pPr>
        <w:pStyle w:val="NormalWeb"/>
        <w:kinsoku w:val="0"/>
        <w:overflowPunct w:val="0"/>
        <w:spacing w:before="77" w:beforeAutospacing="0" w:after="0" w:afterAutospacing="0"/>
        <w:jc w:val="center"/>
        <w:textAlignment w:val="baseline"/>
        <w:rPr>
          <w:rFonts w:eastAsiaTheme="minorEastAsia"/>
          <w:color w:val="000000" w:themeColor="text1"/>
          <w:kern w:val="24"/>
        </w:rPr>
      </w:pPr>
      <w:r>
        <w:rPr>
          <w:rFonts w:eastAsiaTheme="minorEastAsia"/>
          <w:color w:val="000000" w:themeColor="text1"/>
          <w:kern w:val="24"/>
        </w:rPr>
        <w:t>Figure 2</w:t>
      </w:r>
      <w:r w:rsidR="00C55D79">
        <w:rPr>
          <w:rFonts w:eastAsiaTheme="minorEastAsia"/>
          <w:color w:val="000000" w:themeColor="text1"/>
          <w:kern w:val="24"/>
        </w:rPr>
        <w:t xml:space="preserve"> a</w:t>
      </w:r>
      <w:r w:rsidR="002B777E">
        <w:rPr>
          <w:rFonts w:eastAsiaTheme="minorEastAsia"/>
          <w:color w:val="000000" w:themeColor="text1"/>
          <w:kern w:val="24"/>
        </w:rPr>
        <w:t xml:space="preserve"> </w:t>
      </w:r>
      <w:r w:rsidR="00C55D79">
        <w:rPr>
          <w:rFonts w:eastAsiaTheme="minorEastAsia"/>
          <w:color w:val="000000" w:themeColor="text1"/>
          <w:kern w:val="24"/>
        </w:rPr>
        <w:t xml:space="preserve">Z-score of </w:t>
      </w:r>
      <w:proofErr w:type="gramStart"/>
      <w:r w:rsidR="000417C2">
        <w:rPr>
          <w:rFonts w:eastAsiaTheme="minorEastAsia"/>
          <w:color w:val="000000" w:themeColor="text1"/>
          <w:kern w:val="24"/>
        </w:rPr>
        <w:t xml:space="preserve">Theta </w:t>
      </w:r>
      <w:r w:rsidR="00C55D79">
        <w:rPr>
          <w:rFonts w:eastAsiaTheme="minorEastAsia"/>
          <w:color w:val="000000" w:themeColor="text1"/>
          <w:kern w:val="24"/>
        </w:rPr>
        <w:t>:</w:t>
      </w:r>
      <w:proofErr w:type="gramEnd"/>
      <w:r w:rsidR="00C345A3">
        <w:rPr>
          <w:rFonts w:eastAsiaTheme="minorEastAsia"/>
          <w:color w:val="000000" w:themeColor="text1"/>
          <w:kern w:val="24"/>
        </w:rPr>
        <w:t xml:space="preserve"> Normal </w:t>
      </w:r>
      <w:proofErr w:type="spellStart"/>
      <w:r w:rsidR="00C345A3">
        <w:rPr>
          <w:rFonts w:eastAsiaTheme="minorEastAsia"/>
          <w:color w:val="000000" w:themeColor="text1"/>
          <w:kern w:val="24"/>
        </w:rPr>
        <w:t>vs</w:t>
      </w:r>
      <w:proofErr w:type="spellEnd"/>
      <w:r w:rsidR="00C345A3">
        <w:rPr>
          <w:rFonts w:eastAsiaTheme="minorEastAsia"/>
          <w:color w:val="000000" w:themeColor="text1"/>
          <w:kern w:val="24"/>
        </w:rPr>
        <w:t xml:space="preserve"> MCI</w:t>
      </w:r>
      <w:r w:rsidR="000417C2">
        <w:rPr>
          <w:rFonts w:eastAsiaTheme="minorEastAsia"/>
          <w:color w:val="000000" w:themeColor="text1"/>
          <w:kern w:val="24"/>
        </w:rPr>
        <w:t xml:space="preserve"> (EC)</w:t>
      </w:r>
    </w:p>
    <w:p w:rsidR="000417C2" w:rsidRDefault="000417C2" w:rsidP="002B777E">
      <w:pPr>
        <w:pStyle w:val="NormalWeb"/>
        <w:kinsoku w:val="0"/>
        <w:overflowPunct w:val="0"/>
        <w:spacing w:before="77" w:beforeAutospacing="0" w:after="0" w:afterAutospacing="0"/>
        <w:jc w:val="center"/>
        <w:textAlignment w:val="baseline"/>
        <w:rPr>
          <w:rFonts w:eastAsiaTheme="minorEastAsia"/>
          <w:color w:val="000000" w:themeColor="text1"/>
          <w:kern w:val="24"/>
        </w:rPr>
      </w:pPr>
    </w:p>
    <w:p w:rsidR="00C55D79" w:rsidRDefault="00C55D79" w:rsidP="002B777E">
      <w:pPr>
        <w:pStyle w:val="NormalWeb"/>
        <w:kinsoku w:val="0"/>
        <w:overflowPunct w:val="0"/>
        <w:spacing w:before="77" w:beforeAutospacing="0" w:after="0" w:afterAutospacing="0"/>
        <w:jc w:val="center"/>
        <w:textAlignment w:val="baseline"/>
        <w:rPr>
          <w:rFonts w:eastAsiaTheme="minorEastAsia"/>
          <w:color w:val="000000" w:themeColor="text1"/>
          <w:kern w:val="24"/>
        </w:rPr>
      </w:pPr>
      <w:r>
        <w:rPr>
          <w:noProof/>
          <w:lang w:val="en-MY" w:eastAsia="en-MY"/>
        </w:rPr>
        <w:drawing>
          <wp:inline distT="0" distB="0" distL="0" distR="0" wp14:anchorId="5BDD488C" wp14:editId="376F7B6B">
            <wp:extent cx="4211955" cy="2120900"/>
            <wp:effectExtent l="0" t="0" r="1714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5D79" w:rsidRDefault="00C55D79" w:rsidP="002B777E">
      <w:pPr>
        <w:pStyle w:val="NormalWeb"/>
        <w:kinsoku w:val="0"/>
        <w:overflowPunct w:val="0"/>
        <w:spacing w:before="77" w:beforeAutospacing="0" w:after="0" w:afterAutospacing="0"/>
        <w:jc w:val="center"/>
        <w:textAlignment w:val="baseline"/>
        <w:rPr>
          <w:rFonts w:eastAsiaTheme="minorEastAsia"/>
          <w:color w:val="000000" w:themeColor="text1"/>
          <w:kern w:val="24"/>
        </w:rPr>
      </w:pPr>
    </w:p>
    <w:p w:rsidR="00C55D79" w:rsidRDefault="0044174C" w:rsidP="00C55D79">
      <w:pPr>
        <w:pStyle w:val="NormalWeb"/>
        <w:kinsoku w:val="0"/>
        <w:overflowPunct w:val="0"/>
        <w:spacing w:before="77" w:beforeAutospacing="0" w:after="0" w:afterAutospacing="0"/>
        <w:jc w:val="center"/>
        <w:textAlignment w:val="baseline"/>
        <w:rPr>
          <w:rFonts w:eastAsiaTheme="minorEastAsia"/>
          <w:color w:val="000000" w:themeColor="text1"/>
          <w:kern w:val="24"/>
        </w:rPr>
      </w:pPr>
      <w:r>
        <w:rPr>
          <w:rFonts w:eastAsiaTheme="minorEastAsia"/>
          <w:color w:val="000000" w:themeColor="text1"/>
          <w:kern w:val="24"/>
        </w:rPr>
        <w:t>Figure 2</w:t>
      </w:r>
      <w:r w:rsidR="00C55D79">
        <w:rPr>
          <w:rFonts w:eastAsiaTheme="minorEastAsia"/>
          <w:color w:val="000000" w:themeColor="text1"/>
          <w:kern w:val="24"/>
        </w:rPr>
        <w:t xml:space="preserve"> </w:t>
      </w:r>
      <w:proofErr w:type="gramStart"/>
      <w:r w:rsidR="00C55D79">
        <w:rPr>
          <w:rFonts w:eastAsiaTheme="minorEastAsia"/>
          <w:color w:val="000000" w:themeColor="text1"/>
          <w:kern w:val="24"/>
        </w:rPr>
        <w:t>b  Z</w:t>
      </w:r>
      <w:proofErr w:type="gramEnd"/>
      <w:r w:rsidR="00C55D79">
        <w:rPr>
          <w:rFonts w:eastAsiaTheme="minorEastAsia"/>
          <w:color w:val="000000" w:themeColor="text1"/>
          <w:kern w:val="24"/>
        </w:rPr>
        <w:t xml:space="preserve"> score of Theta : Normal </w:t>
      </w:r>
      <w:proofErr w:type="spellStart"/>
      <w:r w:rsidR="00C55D79">
        <w:rPr>
          <w:rFonts w:eastAsiaTheme="minorEastAsia"/>
          <w:color w:val="000000" w:themeColor="text1"/>
          <w:kern w:val="24"/>
        </w:rPr>
        <w:t>vs</w:t>
      </w:r>
      <w:proofErr w:type="spellEnd"/>
      <w:r w:rsidR="00C55D79">
        <w:rPr>
          <w:rFonts w:eastAsiaTheme="minorEastAsia"/>
          <w:color w:val="000000" w:themeColor="text1"/>
          <w:kern w:val="24"/>
        </w:rPr>
        <w:t xml:space="preserve"> MCI (EO)</w:t>
      </w:r>
    </w:p>
    <w:p w:rsidR="00B2724E" w:rsidRDefault="00B2724E" w:rsidP="00C55D79">
      <w:pPr>
        <w:pStyle w:val="NormalWeb"/>
        <w:kinsoku w:val="0"/>
        <w:overflowPunct w:val="0"/>
        <w:spacing w:before="77" w:beforeAutospacing="0" w:after="0" w:afterAutospacing="0"/>
        <w:jc w:val="center"/>
        <w:textAlignment w:val="baseline"/>
        <w:rPr>
          <w:rFonts w:eastAsiaTheme="minorEastAsia"/>
          <w:color w:val="000000" w:themeColor="text1"/>
          <w:kern w:val="24"/>
        </w:rPr>
      </w:pPr>
    </w:p>
    <w:p w:rsidR="002B6BCE" w:rsidRDefault="007F1155" w:rsidP="002B6BCE">
      <w:pPr>
        <w:pStyle w:val="NormalWeb"/>
        <w:kinsoku w:val="0"/>
        <w:overflowPunct w:val="0"/>
        <w:spacing w:before="77" w:beforeAutospacing="0" w:after="0" w:afterAutospacing="0"/>
        <w:jc w:val="both"/>
        <w:textAlignment w:val="baseline"/>
        <w:rPr>
          <w:rFonts w:ascii="Times" w:hAnsi="Times"/>
          <w:color w:val="000000"/>
          <w:sz w:val="26"/>
          <w:szCs w:val="26"/>
          <w:shd w:val="clear" w:color="auto" w:fill="FFFFFF"/>
        </w:rPr>
      </w:pPr>
      <w:r>
        <w:rPr>
          <w:rFonts w:eastAsiaTheme="minorEastAsia"/>
          <w:color w:val="000000" w:themeColor="text1"/>
          <w:kern w:val="24"/>
        </w:rPr>
        <w:t>Next, t</w:t>
      </w:r>
      <w:r w:rsidR="00B2724E" w:rsidRPr="00CE57F4">
        <w:rPr>
          <w:rFonts w:eastAsiaTheme="minorEastAsia"/>
          <w:color w:val="000000" w:themeColor="text1"/>
          <w:kern w:val="24"/>
        </w:rPr>
        <w:t>he</w:t>
      </w:r>
      <w:r>
        <w:rPr>
          <w:rFonts w:eastAsiaTheme="minorEastAsia"/>
          <w:color w:val="000000" w:themeColor="text1"/>
          <w:kern w:val="24"/>
        </w:rPr>
        <w:t xml:space="preserve"> analysis </w:t>
      </w:r>
      <w:r w:rsidR="00B2724E" w:rsidRPr="00CE57F4">
        <w:rPr>
          <w:rFonts w:eastAsiaTheme="minorEastAsia"/>
          <w:color w:val="000000" w:themeColor="text1"/>
          <w:kern w:val="24"/>
        </w:rPr>
        <w:t xml:space="preserve">revealed the excessive presence of slow wave activity ( theta and alpha) in Normal and MCI group as shown in Fig.2 during the Eyes closed  (EC) resting state over the  frontal and parietal region (FP1, FP2, F8 and P4).  MCI group were highest at P4 and higher at prefrontal (F8). </w:t>
      </w:r>
      <w:proofErr w:type="gramStart"/>
      <w:r w:rsidR="00B2724E" w:rsidRPr="00CE57F4">
        <w:rPr>
          <w:rFonts w:eastAsiaTheme="minorEastAsia"/>
          <w:color w:val="000000" w:themeColor="text1"/>
          <w:kern w:val="24"/>
        </w:rPr>
        <w:t>Previous studies has</w:t>
      </w:r>
      <w:proofErr w:type="gramEnd"/>
      <w:r w:rsidR="00B2724E" w:rsidRPr="00CE57F4">
        <w:rPr>
          <w:rFonts w:eastAsiaTheme="minorEastAsia"/>
          <w:color w:val="000000" w:themeColor="text1"/>
          <w:kern w:val="24"/>
        </w:rPr>
        <w:t xml:space="preserve"> demonstrated that in subjects with cognitive decline, there is an increase o</w:t>
      </w:r>
      <w:r w:rsidR="00E764F8">
        <w:rPr>
          <w:rFonts w:eastAsiaTheme="minorEastAsia"/>
          <w:color w:val="000000" w:themeColor="text1"/>
          <w:kern w:val="24"/>
        </w:rPr>
        <w:t>f theta and alpha power [</w:t>
      </w:r>
      <w:r>
        <w:rPr>
          <w:rFonts w:eastAsiaTheme="minorEastAsia"/>
          <w:color w:val="000000" w:themeColor="text1"/>
          <w:kern w:val="24"/>
        </w:rPr>
        <w:t>7</w:t>
      </w:r>
      <w:r w:rsidR="00E764F8">
        <w:rPr>
          <w:rFonts w:eastAsiaTheme="minorEastAsia"/>
          <w:color w:val="000000" w:themeColor="text1"/>
          <w:kern w:val="24"/>
        </w:rPr>
        <w:t>]</w:t>
      </w:r>
      <w:r w:rsidR="00B2724E" w:rsidRPr="00CE57F4">
        <w:rPr>
          <w:rFonts w:eastAsiaTheme="minorEastAsia"/>
          <w:color w:val="000000" w:themeColor="text1"/>
          <w:kern w:val="24"/>
        </w:rPr>
        <w:t xml:space="preserve"> as compared to the normal aging.  The increase  of theta could be seen at the frontal regions (Fp1, Fp2, F8) and at the </w:t>
      </w:r>
      <w:proofErr w:type="spellStart"/>
      <w:r w:rsidR="00B2724E" w:rsidRPr="00CE57F4">
        <w:rPr>
          <w:rFonts w:eastAsiaTheme="minorEastAsia"/>
          <w:color w:val="000000" w:themeColor="text1"/>
          <w:kern w:val="24"/>
        </w:rPr>
        <w:t>temporoparietal</w:t>
      </w:r>
      <w:proofErr w:type="spellEnd"/>
      <w:r w:rsidR="00B2724E" w:rsidRPr="00CE57F4">
        <w:rPr>
          <w:rFonts w:eastAsiaTheme="minorEastAsia"/>
          <w:color w:val="000000" w:themeColor="text1"/>
          <w:kern w:val="24"/>
        </w:rPr>
        <w:t xml:space="preserve"> regions as indicated at (P4) and  (T6), These area plays the role in the way an individual observe the world and process information.  </w:t>
      </w:r>
      <w:r w:rsidR="00B2724E" w:rsidRPr="00CE57F4">
        <w:rPr>
          <w:color w:val="000000"/>
          <w:shd w:val="clear" w:color="auto" w:fill="FFFFFF"/>
        </w:rPr>
        <w:t>On the whole theta and alpha could be considered reliable that might differentiate the normal aging and MCI group</w:t>
      </w:r>
      <w:r w:rsidR="00B2724E">
        <w:rPr>
          <w:rFonts w:eastAsiaTheme="minorEastAsia"/>
          <w:color w:val="000000" w:themeColor="text1"/>
          <w:kern w:val="24"/>
        </w:rPr>
        <w:t xml:space="preserve">.  </w:t>
      </w:r>
      <w:r w:rsidR="00B06046">
        <w:rPr>
          <w:rFonts w:eastAsiaTheme="minorEastAsia"/>
          <w:color w:val="000000" w:themeColor="text1"/>
          <w:kern w:val="24"/>
        </w:rPr>
        <w:t>Increasing theta</w:t>
      </w:r>
      <w:r w:rsidR="002B6BCE">
        <w:rPr>
          <w:rFonts w:eastAsiaTheme="minorEastAsia"/>
          <w:color w:val="000000" w:themeColor="text1"/>
          <w:kern w:val="24"/>
        </w:rPr>
        <w:t xml:space="preserve"> </w:t>
      </w:r>
      <w:proofErr w:type="gramStart"/>
      <w:r w:rsidR="002B6BCE">
        <w:rPr>
          <w:rFonts w:eastAsiaTheme="minorEastAsia"/>
          <w:color w:val="000000" w:themeColor="text1"/>
          <w:kern w:val="24"/>
        </w:rPr>
        <w:t>have</w:t>
      </w:r>
      <w:proofErr w:type="gramEnd"/>
      <w:r w:rsidR="002B6BCE">
        <w:rPr>
          <w:rFonts w:eastAsiaTheme="minorEastAsia"/>
          <w:color w:val="000000" w:themeColor="text1"/>
          <w:kern w:val="24"/>
        </w:rPr>
        <w:t xml:space="preserve"> been reliably associated with AHC atrophy as well as with memory deficits, a major risk for the development of </w:t>
      </w:r>
      <w:proofErr w:type="spellStart"/>
      <w:r w:rsidR="002B6BCE">
        <w:rPr>
          <w:rFonts w:eastAsiaTheme="minorEastAsia"/>
          <w:color w:val="000000" w:themeColor="text1"/>
          <w:kern w:val="24"/>
        </w:rPr>
        <w:t>Alzheimers</w:t>
      </w:r>
      <w:proofErr w:type="spellEnd"/>
      <w:r w:rsidR="002B6BCE">
        <w:rPr>
          <w:rFonts w:eastAsiaTheme="minorEastAsia"/>
          <w:color w:val="000000" w:themeColor="text1"/>
          <w:kern w:val="24"/>
        </w:rPr>
        <w:t>’ disease a</w:t>
      </w:r>
      <w:r w:rsidR="00E764F8">
        <w:rPr>
          <w:rFonts w:eastAsiaTheme="minorEastAsia"/>
          <w:color w:val="000000" w:themeColor="text1"/>
          <w:kern w:val="24"/>
        </w:rPr>
        <w:t>nd MCI subjects [8]</w:t>
      </w:r>
      <w:r w:rsidR="002B6BCE">
        <w:rPr>
          <w:rFonts w:eastAsiaTheme="minorEastAsia"/>
          <w:color w:val="000000" w:themeColor="text1"/>
          <w:kern w:val="24"/>
        </w:rPr>
        <w:t>.</w:t>
      </w:r>
      <w:r w:rsidR="00B2724E">
        <w:rPr>
          <w:rFonts w:eastAsiaTheme="minorEastAsia"/>
          <w:color w:val="000000" w:themeColor="text1"/>
          <w:kern w:val="24"/>
        </w:rPr>
        <w:t xml:space="preserve"> </w:t>
      </w:r>
      <w:r w:rsidR="002B6BCE">
        <w:rPr>
          <w:rFonts w:ascii="Times" w:hAnsi="Times"/>
          <w:color w:val="000000"/>
          <w:sz w:val="26"/>
          <w:szCs w:val="26"/>
          <w:shd w:val="clear" w:color="auto" w:fill="FFFFFF"/>
        </w:rPr>
        <w:t xml:space="preserve">The </w:t>
      </w:r>
      <w:proofErr w:type="spellStart"/>
      <w:r w:rsidR="002B6BCE">
        <w:rPr>
          <w:rFonts w:ascii="Times" w:hAnsi="Times"/>
          <w:color w:val="000000"/>
          <w:sz w:val="26"/>
          <w:szCs w:val="26"/>
          <w:shd w:val="clear" w:color="auto" w:fill="FFFFFF"/>
        </w:rPr>
        <w:t>amygdalohippocampal</w:t>
      </w:r>
      <w:proofErr w:type="spellEnd"/>
      <w:r w:rsidR="002B6BCE">
        <w:rPr>
          <w:rFonts w:ascii="Times" w:hAnsi="Times"/>
          <w:color w:val="000000"/>
          <w:sz w:val="26"/>
          <w:szCs w:val="26"/>
          <w:shd w:val="clear" w:color="auto" w:fill="FFFFFF"/>
        </w:rPr>
        <w:t xml:space="preserve"> network is a key structure in the generation of theta rhythm. The atrophy of AHC determines increasing memory deficits. More specifically, theta oscillations increased at most of the regions (frontal, temporal and occipital area) during the eyes open (EO) conditions</w:t>
      </w:r>
      <w:r w:rsidR="00363D69">
        <w:rPr>
          <w:rFonts w:ascii="Times" w:hAnsi="Times"/>
          <w:color w:val="000000"/>
          <w:sz w:val="26"/>
          <w:szCs w:val="26"/>
          <w:shd w:val="clear" w:color="auto" w:fill="FFFFFF"/>
        </w:rPr>
        <w:t xml:space="preserve"> </w:t>
      </w:r>
      <w:r w:rsidR="00B06046">
        <w:rPr>
          <w:rFonts w:ascii="Times" w:hAnsi="Times"/>
          <w:color w:val="000000"/>
          <w:sz w:val="26"/>
          <w:szCs w:val="26"/>
          <w:shd w:val="clear" w:color="auto" w:fill="FFFFFF"/>
        </w:rPr>
        <w:t xml:space="preserve">that </w:t>
      </w:r>
      <w:r w:rsidR="002B6BCE">
        <w:rPr>
          <w:rFonts w:ascii="Times" w:hAnsi="Times"/>
          <w:color w:val="000000"/>
          <w:sz w:val="26"/>
          <w:szCs w:val="26"/>
          <w:shd w:val="clear" w:color="auto" w:fill="FFFFFF"/>
        </w:rPr>
        <w:t xml:space="preserve">showed the lack of attention. </w:t>
      </w:r>
    </w:p>
    <w:p w:rsidR="00C55D79" w:rsidRDefault="00C55D79" w:rsidP="002B777E">
      <w:pPr>
        <w:pStyle w:val="NormalWeb"/>
        <w:kinsoku w:val="0"/>
        <w:overflowPunct w:val="0"/>
        <w:spacing w:before="77" w:beforeAutospacing="0" w:after="0" w:afterAutospacing="0"/>
        <w:jc w:val="center"/>
        <w:textAlignment w:val="baseline"/>
        <w:rPr>
          <w:rFonts w:eastAsiaTheme="minorEastAsia"/>
          <w:color w:val="000000" w:themeColor="text1"/>
          <w:kern w:val="24"/>
        </w:rPr>
      </w:pPr>
    </w:p>
    <w:p w:rsidR="000417C2" w:rsidRDefault="000417C2" w:rsidP="002B777E">
      <w:pPr>
        <w:pStyle w:val="NormalWeb"/>
        <w:kinsoku w:val="0"/>
        <w:overflowPunct w:val="0"/>
        <w:spacing w:before="77" w:beforeAutospacing="0" w:after="0" w:afterAutospacing="0"/>
        <w:jc w:val="center"/>
        <w:textAlignment w:val="baseline"/>
        <w:rPr>
          <w:rFonts w:eastAsiaTheme="minorEastAsia"/>
          <w:color w:val="000000" w:themeColor="text1"/>
          <w:kern w:val="24"/>
        </w:rPr>
      </w:pPr>
      <w:r>
        <w:rPr>
          <w:noProof/>
          <w:lang w:val="en-MY" w:eastAsia="en-MY"/>
        </w:rPr>
        <w:lastRenderedPageBreak/>
        <w:drawing>
          <wp:inline distT="0" distB="0" distL="0" distR="0" wp14:anchorId="694D5FD3" wp14:editId="27B058FE">
            <wp:extent cx="4429125" cy="19526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17C2" w:rsidRDefault="0044174C" w:rsidP="000417C2">
      <w:pPr>
        <w:pStyle w:val="NormalWeb"/>
        <w:kinsoku w:val="0"/>
        <w:overflowPunct w:val="0"/>
        <w:spacing w:before="77" w:beforeAutospacing="0" w:after="0" w:afterAutospacing="0"/>
        <w:jc w:val="center"/>
        <w:textAlignment w:val="baseline"/>
        <w:rPr>
          <w:rFonts w:eastAsiaTheme="minorEastAsia"/>
          <w:color w:val="000000" w:themeColor="text1"/>
          <w:kern w:val="24"/>
        </w:rPr>
      </w:pPr>
      <w:r>
        <w:rPr>
          <w:rFonts w:eastAsiaTheme="minorEastAsia"/>
          <w:color w:val="000000" w:themeColor="text1"/>
          <w:kern w:val="24"/>
        </w:rPr>
        <w:t>Figure 3</w:t>
      </w:r>
      <w:r w:rsidR="00C55D79">
        <w:rPr>
          <w:rFonts w:eastAsiaTheme="minorEastAsia"/>
          <w:color w:val="000000" w:themeColor="text1"/>
          <w:kern w:val="24"/>
        </w:rPr>
        <w:t xml:space="preserve"> (a</w:t>
      </w:r>
      <w:proofErr w:type="gramStart"/>
      <w:r w:rsidR="00C55D79">
        <w:rPr>
          <w:rFonts w:eastAsiaTheme="minorEastAsia"/>
          <w:color w:val="000000" w:themeColor="text1"/>
          <w:kern w:val="24"/>
        </w:rPr>
        <w:t>)</w:t>
      </w:r>
      <w:r w:rsidR="000417C2">
        <w:rPr>
          <w:rFonts w:eastAsiaTheme="minorEastAsia"/>
          <w:color w:val="000000" w:themeColor="text1"/>
          <w:kern w:val="24"/>
        </w:rPr>
        <w:t xml:space="preserve"> </w:t>
      </w:r>
      <w:r w:rsidR="00C55D79">
        <w:rPr>
          <w:rFonts w:eastAsiaTheme="minorEastAsia"/>
          <w:color w:val="000000" w:themeColor="text1"/>
          <w:kern w:val="24"/>
        </w:rPr>
        <w:t xml:space="preserve"> Z</w:t>
      </w:r>
      <w:proofErr w:type="gramEnd"/>
      <w:r w:rsidR="00C55D79">
        <w:rPr>
          <w:rFonts w:eastAsiaTheme="minorEastAsia"/>
          <w:color w:val="000000" w:themeColor="text1"/>
          <w:kern w:val="24"/>
        </w:rPr>
        <w:t xml:space="preserve"> score of </w:t>
      </w:r>
      <w:r w:rsidR="000417C2">
        <w:rPr>
          <w:rFonts w:eastAsiaTheme="minorEastAsia"/>
          <w:color w:val="000000" w:themeColor="text1"/>
          <w:kern w:val="24"/>
        </w:rPr>
        <w:t xml:space="preserve">Alpha </w:t>
      </w:r>
      <w:r w:rsidR="00C55D79">
        <w:rPr>
          <w:rFonts w:eastAsiaTheme="minorEastAsia"/>
          <w:color w:val="000000" w:themeColor="text1"/>
          <w:kern w:val="24"/>
        </w:rPr>
        <w:t>:</w:t>
      </w:r>
      <w:r w:rsidR="000417C2">
        <w:rPr>
          <w:rFonts w:eastAsiaTheme="minorEastAsia"/>
          <w:color w:val="000000" w:themeColor="text1"/>
          <w:kern w:val="24"/>
        </w:rPr>
        <w:t xml:space="preserve"> Normal </w:t>
      </w:r>
      <w:proofErr w:type="spellStart"/>
      <w:r w:rsidR="000417C2">
        <w:rPr>
          <w:rFonts w:eastAsiaTheme="minorEastAsia"/>
          <w:color w:val="000000" w:themeColor="text1"/>
          <w:kern w:val="24"/>
        </w:rPr>
        <w:t>vs</w:t>
      </w:r>
      <w:proofErr w:type="spellEnd"/>
      <w:r w:rsidR="000417C2">
        <w:rPr>
          <w:rFonts w:eastAsiaTheme="minorEastAsia"/>
          <w:color w:val="000000" w:themeColor="text1"/>
          <w:kern w:val="24"/>
        </w:rPr>
        <w:t xml:space="preserve"> MCI (EC)</w:t>
      </w:r>
    </w:p>
    <w:p w:rsidR="00C55D79" w:rsidRDefault="00C55D79" w:rsidP="000417C2">
      <w:pPr>
        <w:pStyle w:val="NormalWeb"/>
        <w:kinsoku w:val="0"/>
        <w:overflowPunct w:val="0"/>
        <w:spacing w:before="77" w:beforeAutospacing="0" w:after="0" w:afterAutospacing="0"/>
        <w:jc w:val="center"/>
        <w:textAlignment w:val="baseline"/>
        <w:rPr>
          <w:rFonts w:eastAsiaTheme="minorEastAsia"/>
          <w:color w:val="000000" w:themeColor="text1"/>
          <w:kern w:val="24"/>
        </w:rPr>
      </w:pPr>
    </w:p>
    <w:p w:rsidR="00C55D79" w:rsidRDefault="00C55D79" w:rsidP="000417C2">
      <w:pPr>
        <w:pStyle w:val="NormalWeb"/>
        <w:kinsoku w:val="0"/>
        <w:overflowPunct w:val="0"/>
        <w:spacing w:before="77" w:beforeAutospacing="0" w:after="0" w:afterAutospacing="0"/>
        <w:jc w:val="center"/>
        <w:textAlignment w:val="baseline"/>
        <w:rPr>
          <w:rFonts w:eastAsiaTheme="minorEastAsia"/>
          <w:color w:val="000000" w:themeColor="text1"/>
          <w:kern w:val="24"/>
        </w:rPr>
      </w:pPr>
    </w:p>
    <w:p w:rsidR="00C55D79" w:rsidRDefault="00C55D79" w:rsidP="000417C2">
      <w:pPr>
        <w:pStyle w:val="NormalWeb"/>
        <w:kinsoku w:val="0"/>
        <w:overflowPunct w:val="0"/>
        <w:spacing w:before="77" w:beforeAutospacing="0" w:after="0" w:afterAutospacing="0"/>
        <w:jc w:val="center"/>
        <w:textAlignment w:val="baseline"/>
        <w:rPr>
          <w:rFonts w:eastAsiaTheme="minorEastAsia"/>
          <w:color w:val="000000" w:themeColor="text1"/>
          <w:kern w:val="24"/>
        </w:rPr>
      </w:pPr>
      <w:r>
        <w:rPr>
          <w:noProof/>
          <w:lang w:val="en-MY" w:eastAsia="en-MY"/>
        </w:rPr>
        <w:drawing>
          <wp:inline distT="0" distB="0" distL="0" distR="0" wp14:anchorId="55218E79" wp14:editId="520AC163">
            <wp:extent cx="4438650" cy="22383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5D79" w:rsidRDefault="00C55D79" w:rsidP="000417C2">
      <w:pPr>
        <w:pStyle w:val="NormalWeb"/>
        <w:kinsoku w:val="0"/>
        <w:overflowPunct w:val="0"/>
        <w:spacing w:before="77" w:beforeAutospacing="0" w:after="0" w:afterAutospacing="0"/>
        <w:jc w:val="center"/>
        <w:textAlignment w:val="baseline"/>
        <w:rPr>
          <w:rFonts w:eastAsiaTheme="minorEastAsia"/>
          <w:color w:val="000000" w:themeColor="text1"/>
          <w:kern w:val="24"/>
        </w:rPr>
      </w:pPr>
    </w:p>
    <w:p w:rsidR="00C55D79" w:rsidRDefault="0044174C" w:rsidP="000417C2">
      <w:pPr>
        <w:pStyle w:val="NormalWeb"/>
        <w:kinsoku w:val="0"/>
        <w:overflowPunct w:val="0"/>
        <w:spacing w:before="77" w:beforeAutospacing="0" w:after="0" w:afterAutospacing="0"/>
        <w:jc w:val="center"/>
        <w:textAlignment w:val="baseline"/>
        <w:rPr>
          <w:rFonts w:eastAsiaTheme="minorEastAsia"/>
          <w:color w:val="000000" w:themeColor="text1"/>
          <w:kern w:val="24"/>
        </w:rPr>
      </w:pPr>
      <w:r>
        <w:rPr>
          <w:rFonts w:eastAsiaTheme="minorEastAsia"/>
          <w:color w:val="000000" w:themeColor="text1"/>
          <w:kern w:val="24"/>
        </w:rPr>
        <w:t>Figure 3</w:t>
      </w:r>
      <w:r w:rsidR="00C55D79">
        <w:rPr>
          <w:rFonts w:eastAsiaTheme="minorEastAsia"/>
          <w:color w:val="000000" w:themeColor="text1"/>
          <w:kern w:val="24"/>
        </w:rPr>
        <w:t xml:space="preserve"> (b) Z score of Alpha: Normal </w:t>
      </w:r>
      <w:proofErr w:type="spellStart"/>
      <w:r w:rsidR="00C55D79">
        <w:rPr>
          <w:rFonts w:eastAsiaTheme="minorEastAsia"/>
          <w:color w:val="000000" w:themeColor="text1"/>
          <w:kern w:val="24"/>
        </w:rPr>
        <w:t>vs</w:t>
      </w:r>
      <w:proofErr w:type="spellEnd"/>
      <w:r w:rsidR="00C55D79">
        <w:rPr>
          <w:rFonts w:eastAsiaTheme="minorEastAsia"/>
          <w:color w:val="000000" w:themeColor="text1"/>
          <w:kern w:val="24"/>
        </w:rPr>
        <w:t xml:space="preserve"> MCI (EO)</w:t>
      </w:r>
    </w:p>
    <w:p w:rsidR="000417C2" w:rsidRDefault="000417C2" w:rsidP="000417C2">
      <w:pPr>
        <w:pStyle w:val="NormalWeb"/>
        <w:kinsoku w:val="0"/>
        <w:overflowPunct w:val="0"/>
        <w:spacing w:before="77" w:beforeAutospacing="0" w:after="0" w:afterAutospacing="0"/>
        <w:jc w:val="center"/>
        <w:textAlignment w:val="baseline"/>
        <w:rPr>
          <w:rFonts w:eastAsiaTheme="minorEastAsia"/>
          <w:color w:val="000000" w:themeColor="text1"/>
          <w:kern w:val="24"/>
        </w:rPr>
      </w:pPr>
    </w:p>
    <w:p w:rsidR="00517299" w:rsidRDefault="009E0EF4" w:rsidP="00517299">
      <w:pPr>
        <w:pStyle w:val="NormalWeb"/>
        <w:kinsoku w:val="0"/>
        <w:overflowPunct w:val="0"/>
        <w:spacing w:before="77" w:beforeAutospacing="0" w:after="0" w:afterAutospacing="0"/>
        <w:jc w:val="both"/>
        <w:textAlignment w:val="baseline"/>
        <w:rPr>
          <w:rFonts w:ascii="Times" w:hAnsi="Times"/>
          <w:color w:val="000000"/>
          <w:sz w:val="26"/>
          <w:szCs w:val="26"/>
          <w:shd w:val="clear" w:color="auto" w:fill="FFFFFF"/>
        </w:rPr>
      </w:pPr>
      <w:r>
        <w:rPr>
          <w:rFonts w:ascii="Times" w:hAnsi="Times"/>
          <w:color w:val="000000"/>
          <w:sz w:val="26"/>
          <w:szCs w:val="26"/>
          <w:shd w:val="clear" w:color="auto" w:fill="FFFFFF"/>
        </w:rPr>
        <w:t xml:space="preserve">.  </w:t>
      </w:r>
    </w:p>
    <w:p w:rsidR="005E58C6" w:rsidRDefault="00DB0FE7"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r>
        <w:rPr>
          <w:noProof/>
          <w:lang w:val="en-MY" w:eastAsia="en-MY"/>
        </w:rPr>
        <w:drawing>
          <wp:inline distT="0" distB="0" distL="0" distR="0" wp14:anchorId="000C3964" wp14:editId="273280E4">
            <wp:extent cx="4610100" cy="18478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E58C6">
        <w:rPr>
          <w:rFonts w:ascii="Times" w:hAnsi="Times"/>
          <w:color w:val="000000"/>
          <w:sz w:val="26"/>
          <w:szCs w:val="26"/>
        </w:rPr>
        <w:br/>
      </w:r>
      <w:r w:rsidR="00362E00">
        <w:rPr>
          <w:rStyle w:val="apple-converted-space"/>
          <w:rFonts w:ascii="Times" w:hAnsi="Times"/>
          <w:color w:val="000000"/>
          <w:sz w:val="26"/>
          <w:szCs w:val="26"/>
          <w:shd w:val="clear" w:color="auto" w:fill="FFFFFF"/>
        </w:rPr>
        <w:t xml:space="preserve"> </w:t>
      </w:r>
    </w:p>
    <w:p w:rsidR="00DB0FE7" w:rsidRDefault="00DB0FE7"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r>
        <w:rPr>
          <w:rStyle w:val="apple-converted-space"/>
          <w:rFonts w:ascii="Times" w:hAnsi="Times"/>
          <w:color w:val="000000"/>
          <w:sz w:val="26"/>
          <w:szCs w:val="26"/>
          <w:shd w:val="clear" w:color="auto" w:fill="FFFFFF"/>
        </w:rPr>
        <w:t>Figure 4</w:t>
      </w:r>
      <w:r w:rsidR="00363D69">
        <w:rPr>
          <w:rStyle w:val="apple-converted-space"/>
          <w:rFonts w:ascii="Times" w:hAnsi="Times"/>
          <w:color w:val="000000"/>
          <w:sz w:val="26"/>
          <w:szCs w:val="26"/>
          <w:shd w:val="clear" w:color="auto" w:fill="FFFFFF"/>
        </w:rPr>
        <w:t xml:space="preserve"> </w:t>
      </w:r>
      <w:proofErr w:type="gramStart"/>
      <w:r w:rsidR="00363D69">
        <w:rPr>
          <w:rStyle w:val="apple-converted-space"/>
          <w:rFonts w:ascii="Times" w:hAnsi="Times"/>
          <w:color w:val="000000"/>
          <w:sz w:val="26"/>
          <w:szCs w:val="26"/>
          <w:shd w:val="clear" w:color="auto" w:fill="FFFFFF"/>
        </w:rPr>
        <w:t>a</w:t>
      </w:r>
      <w:r>
        <w:rPr>
          <w:rStyle w:val="apple-converted-space"/>
          <w:rFonts w:ascii="Times" w:hAnsi="Times"/>
          <w:color w:val="000000"/>
          <w:sz w:val="26"/>
          <w:szCs w:val="26"/>
          <w:shd w:val="clear" w:color="auto" w:fill="FFFFFF"/>
        </w:rPr>
        <w:t xml:space="preserve"> :</w:t>
      </w:r>
      <w:proofErr w:type="gramEnd"/>
      <w:r>
        <w:rPr>
          <w:rStyle w:val="apple-converted-space"/>
          <w:rFonts w:ascii="Times" w:hAnsi="Times"/>
          <w:color w:val="000000"/>
          <w:sz w:val="26"/>
          <w:szCs w:val="26"/>
          <w:shd w:val="clear" w:color="auto" w:fill="FFFFFF"/>
        </w:rPr>
        <w:t xml:space="preserve"> Z score of Delta: Normal </w:t>
      </w:r>
      <w:proofErr w:type="spellStart"/>
      <w:r>
        <w:rPr>
          <w:rStyle w:val="apple-converted-space"/>
          <w:rFonts w:ascii="Times" w:hAnsi="Times"/>
          <w:color w:val="000000"/>
          <w:sz w:val="26"/>
          <w:szCs w:val="26"/>
          <w:shd w:val="clear" w:color="auto" w:fill="FFFFFF"/>
        </w:rPr>
        <w:t>vs</w:t>
      </w:r>
      <w:proofErr w:type="spellEnd"/>
      <w:r>
        <w:rPr>
          <w:rStyle w:val="apple-converted-space"/>
          <w:rFonts w:ascii="Times" w:hAnsi="Times"/>
          <w:color w:val="000000"/>
          <w:sz w:val="26"/>
          <w:szCs w:val="26"/>
          <w:shd w:val="clear" w:color="auto" w:fill="FFFFFF"/>
        </w:rPr>
        <w:t xml:space="preserve"> MCI (EC)</w:t>
      </w:r>
    </w:p>
    <w:p w:rsidR="00DB0FE7" w:rsidRDefault="00DB0FE7"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p>
    <w:p w:rsidR="00DB0FE7" w:rsidRDefault="00DB0FE7"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p>
    <w:p w:rsidR="00DB0FE7" w:rsidRDefault="00DB0FE7"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r>
        <w:rPr>
          <w:noProof/>
          <w:lang w:val="en-MY" w:eastAsia="en-MY"/>
        </w:rPr>
        <w:lastRenderedPageBreak/>
        <w:drawing>
          <wp:inline distT="0" distB="0" distL="0" distR="0" wp14:anchorId="38650670" wp14:editId="2FA29462">
            <wp:extent cx="4543425" cy="18288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3D69" w:rsidRDefault="00363D69"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p>
    <w:p w:rsidR="00363D69" w:rsidRDefault="00362E00" w:rsidP="00363D69">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r>
        <w:rPr>
          <w:rStyle w:val="apple-converted-space"/>
          <w:rFonts w:ascii="Times" w:hAnsi="Times"/>
          <w:color w:val="000000"/>
          <w:sz w:val="26"/>
          <w:szCs w:val="26"/>
          <w:shd w:val="clear" w:color="auto" w:fill="FFFFFF"/>
        </w:rPr>
        <w:t xml:space="preserve">Figure 4 </w:t>
      </w:r>
      <w:proofErr w:type="gramStart"/>
      <w:r>
        <w:rPr>
          <w:rStyle w:val="apple-converted-space"/>
          <w:rFonts w:ascii="Times" w:hAnsi="Times"/>
          <w:color w:val="000000"/>
          <w:sz w:val="26"/>
          <w:szCs w:val="26"/>
          <w:shd w:val="clear" w:color="auto" w:fill="FFFFFF"/>
        </w:rPr>
        <w:t>b</w:t>
      </w:r>
      <w:r w:rsidR="00363D69">
        <w:rPr>
          <w:rStyle w:val="apple-converted-space"/>
          <w:rFonts w:ascii="Times" w:hAnsi="Times"/>
          <w:color w:val="000000"/>
          <w:sz w:val="26"/>
          <w:szCs w:val="26"/>
          <w:shd w:val="clear" w:color="auto" w:fill="FFFFFF"/>
        </w:rPr>
        <w:t xml:space="preserve"> :</w:t>
      </w:r>
      <w:proofErr w:type="gramEnd"/>
      <w:r w:rsidR="00363D69">
        <w:rPr>
          <w:rStyle w:val="apple-converted-space"/>
          <w:rFonts w:ascii="Times" w:hAnsi="Times"/>
          <w:color w:val="000000"/>
          <w:sz w:val="26"/>
          <w:szCs w:val="26"/>
          <w:shd w:val="clear" w:color="auto" w:fill="FFFFFF"/>
        </w:rPr>
        <w:t xml:space="preserve"> Z score of Delta: Normal </w:t>
      </w:r>
      <w:proofErr w:type="spellStart"/>
      <w:r w:rsidR="00363D69">
        <w:rPr>
          <w:rStyle w:val="apple-converted-space"/>
          <w:rFonts w:ascii="Times" w:hAnsi="Times"/>
          <w:color w:val="000000"/>
          <w:sz w:val="26"/>
          <w:szCs w:val="26"/>
          <w:shd w:val="clear" w:color="auto" w:fill="FFFFFF"/>
        </w:rPr>
        <w:t>vs</w:t>
      </w:r>
      <w:proofErr w:type="spellEnd"/>
      <w:r w:rsidR="00363D69">
        <w:rPr>
          <w:rStyle w:val="apple-converted-space"/>
          <w:rFonts w:ascii="Times" w:hAnsi="Times"/>
          <w:color w:val="000000"/>
          <w:sz w:val="26"/>
          <w:szCs w:val="26"/>
          <w:shd w:val="clear" w:color="auto" w:fill="FFFFFF"/>
        </w:rPr>
        <w:t xml:space="preserve"> MCI (EO)</w:t>
      </w:r>
    </w:p>
    <w:p w:rsidR="00DB0FE7" w:rsidRDefault="00DB0FE7"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p>
    <w:p w:rsidR="00DB0FE7" w:rsidRDefault="00DB0FE7"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p>
    <w:p w:rsidR="00EE04E5" w:rsidRDefault="00EE04E5" w:rsidP="00DB0FE7">
      <w:pPr>
        <w:pStyle w:val="NormalWeb"/>
        <w:kinsoku w:val="0"/>
        <w:overflowPunct w:val="0"/>
        <w:spacing w:before="77" w:beforeAutospacing="0" w:after="0" w:afterAutospacing="0"/>
        <w:jc w:val="center"/>
        <w:textAlignment w:val="baseline"/>
        <w:rPr>
          <w:rStyle w:val="apple-converted-space"/>
          <w:rFonts w:ascii="Times" w:hAnsi="Times"/>
          <w:color w:val="000000"/>
          <w:sz w:val="26"/>
          <w:szCs w:val="26"/>
          <w:shd w:val="clear" w:color="auto" w:fill="FFFFFF"/>
        </w:rPr>
      </w:pPr>
    </w:p>
    <w:p w:rsidR="00DB0FE7" w:rsidRDefault="00450D3A" w:rsidP="00363D69">
      <w:pPr>
        <w:pStyle w:val="NormalWeb"/>
        <w:kinsoku w:val="0"/>
        <w:overflowPunct w:val="0"/>
        <w:spacing w:before="77" w:beforeAutospacing="0" w:after="0" w:afterAutospacing="0"/>
        <w:textAlignment w:val="baseline"/>
        <w:rPr>
          <w:rStyle w:val="apple-converted-space"/>
          <w:rFonts w:ascii="MinionPro-Regular" w:hAnsi="MinionPro-Regular"/>
          <w:color w:val="000000"/>
          <w:sz w:val="26"/>
          <w:szCs w:val="26"/>
          <w:shd w:val="clear" w:color="auto" w:fill="FFFFFF"/>
        </w:rPr>
      </w:pPr>
      <w:r>
        <w:rPr>
          <w:rFonts w:ascii="MinionPro-Regular" w:hAnsi="MinionPro-Regular"/>
          <w:color w:val="000000"/>
          <w:sz w:val="26"/>
          <w:szCs w:val="26"/>
          <w:shd w:val="clear" w:color="auto" w:fill="FFFFFF"/>
        </w:rPr>
        <w:t>Fig. 4a and 4b shows the increase in delta</w:t>
      </w:r>
      <w:r w:rsidR="00E61985">
        <w:rPr>
          <w:rFonts w:ascii="MinionPro-Regular" w:hAnsi="MinionPro-Regular"/>
          <w:color w:val="000000"/>
          <w:sz w:val="26"/>
          <w:szCs w:val="26"/>
          <w:shd w:val="clear" w:color="auto" w:fill="FFFFFF"/>
        </w:rPr>
        <w:t xml:space="preserve"> at the frontal area during the eyes closed conditions and increased over F7</w:t>
      </w:r>
      <w:proofErr w:type="gramStart"/>
      <w:r w:rsidR="00E61985">
        <w:rPr>
          <w:rFonts w:ascii="MinionPro-Regular" w:hAnsi="MinionPro-Regular"/>
          <w:color w:val="000000"/>
          <w:sz w:val="26"/>
          <w:szCs w:val="26"/>
          <w:shd w:val="clear" w:color="auto" w:fill="FFFFFF"/>
        </w:rPr>
        <w:t>,F8</w:t>
      </w:r>
      <w:proofErr w:type="gramEnd"/>
      <w:r w:rsidR="00E61985">
        <w:rPr>
          <w:rFonts w:ascii="MinionPro-Regular" w:hAnsi="MinionPro-Regular"/>
          <w:color w:val="000000"/>
          <w:sz w:val="26"/>
          <w:szCs w:val="26"/>
          <w:shd w:val="clear" w:color="auto" w:fill="FFFFFF"/>
        </w:rPr>
        <w:t xml:space="preserve"> and T4 </w:t>
      </w:r>
      <w:r w:rsidR="0000546D">
        <w:rPr>
          <w:rFonts w:ascii="MinionPro-Regular" w:hAnsi="MinionPro-Regular"/>
          <w:color w:val="000000"/>
          <w:sz w:val="26"/>
          <w:szCs w:val="26"/>
          <w:shd w:val="clear" w:color="auto" w:fill="FFFFFF"/>
        </w:rPr>
        <w:t xml:space="preserve">among MCI during the eyes opened resting state.  </w:t>
      </w:r>
      <w:r w:rsidR="00363D69">
        <w:rPr>
          <w:rFonts w:ascii="MinionPro-Regular" w:hAnsi="MinionPro-Regular"/>
          <w:color w:val="000000"/>
          <w:sz w:val="26"/>
          <w:szCs w:val="26"/>
          <w:shd w:val="clear" w:color="auto" w:fill="FFFFFF"/>
        </w:rPr>
        <w:t>In the spectral band power the severity of CVD was associated with increased delta power and decreased alpha2 power.</w:t>
      </w:r>
      <w:r w:rsidR="00363D69">
        <w:rPr>
          <w:rStyle w:val="apple-converted-space"/>
          <w:rFonts w:ascii="MinionPro-Regular" w:hAnsi="MinionPro-Regular"/>
          <w:color w:val="000000"/>
          <w:sz w:val="26"/>
          <w:szCs w:val="26"/>
          <w:shd w:val="clear" w:color="auto" w:fill="FFFFFF"/>
        </w:rPr>
        <w:t> </w:t>
      </w:r>
    </w:p>
    <w:p w:rsidR="00C64513" w:rsidRDefault="00C64513" w:rsidP="00363D69">
      <w:pPr>
        <w:pStyle w:val="NormalWeb"/>
        <w:kinsoku w:val="0"/>
        <w:overflowPunct w:val="0"/>
        <w:spacing w:before="77" w:beforeAutospacing="0" w:after="0" w:afterAutospacing="0"/>
        <w:textAlignment w:val="baseline"/>
        <w:rPr>
          <w:rStyle w:val="apple-converted-space"/>
          <w:rFonts w:ascii="MinionPro-Regular" w:hAnsi="MinionPro-Regular"/>
          <w:color w:val="000000"/>
          <w:sz w:val="26"/>
          <w:szCs w:val="26"/>
          <w:shd w:val="clear" w:color="auto" w:fill="FFFFFF"/>
        </w:rPr>
      </w:pPr>
    </w:p>
    <w:p w:rsidR="0000546D" w:rsidRPr="00F001EF" w:rsidRDefault="00C64513" w:rsidP="00363D69">
      <w:pPr>
        <w:pStyle w:val="NormalWeb"/>
        <w:kinsoku w:val="0"/>
        <w:overflowPunct w:val="0"/>
        <w:spacing w:before="77" w:beforeAutospacing="0" w:after="0" w:afterAutospacing="0"/>
        <w:textAlignment w:val="baseline"/>
        <w:rPr>
          <w:rStyle w:val="apple-converted-space"/>
          <w:b/>
          <w:color w:val="000000"/>
          <w:shd w:val="clear" w:color="auto" w:fill="FFFFFF"/>
        </w:rPr>
      </w:pPr>
      <w:r w:rsidRPr="00F001EF">
        <w:rPr>
          <w:rStyle w:val="apple-converted-space"/>
          <w:b/>
          <w:color w:val="000000"/>
          <w:shd w:val="clear" w:color="auto" w:fill="FFFFFF"/>
        </w:rPr>
        <w:t>Conclusion</w:t>
      </w:r>
    </w:p>
    <w:p w:rsidR="00693FF7" w:rsidRPr="00450D3A" w:rsidRDefault="003A5627" w:rsidP="00363D69">
      <w:pPr>
        <w:pStyle w:val="NormalWeb"/>
        <w:kinsoku w:val="0"/>
        <w:overflowPunct w:val="0"/>
        <w:spacing w:before="77" w:beforeAutospacing="0" w:after="0" w:afterAutospacing="0"/>
        <w:textAlignment w:val="baseline"/>
        <w:rPr>
          <w:rStyle w:val="apple-converted-space"/>
          <w:color w:val="000000"/>
          <w:sz w:val="26"/>
          <w:szCs w:val="26"/>
          <w:shd w:val="clear" w:color="auto" w:fill="FFFFFF"/>
        </w:rPr>
      </w:pPr>
      <w:r>
        <w:rPr>
          <w:rStyle w:val="apple-converted-space"/>
          <w:rFonts w:ascii="MinionPro-Regular" w:hAnsi="MinionPro-Regular"/>
          <w:color w:val="000000"/>
          <w:sz w:val="26"/>
          <w:szCs w:val="26"/>
          <w:shd w:val="clear" w:color="auto" w:fill="FFFFFF"/>
        </w:rPr>
        <w:t xml:space="preserve">The observation and analysis of EEG features among the MCI group revealed the increase of beta 2 power over the </w:t>
      </w:r>
      <w:r w:rsidR="00C412EC">
        <w:rPr>
          <w:rStyle w:val="apple-converted-space"/>
          <w:rFonts w:ascii="MinionPro-Regular" w:hAnsi="MinionPro-Regular"/>
          <w:color w:val="000000"/>
          <w:sz w:val="26"/>
          <w:szCs w:val="26"/>
          <w:shd w:val="clear" w:color="auto" w:fill="FFFFFF"/>
        </w:rPr>
        <w:t xml:space="preserve">right </w:t>
      </w:r>
      <w:r>
        <w:rPr>
          <w:rStyle w:val="apple-converted-space"/>
          <w:rFonts w:ascii="MinionPro-Regular" w:hAnsi="MinionPro-Regular"/>
          <w:color w:val="000000"/>
          <w:sz w:val="26"/>
          <w:szCs w:val="26"/>
          <w:shd w:val="clear" w:color="auto" w:fill="FFFFFF"/>
        </w:rPr>
        <w:t>anterior region in compariso</w:t>
      </w:r>
      <w:r w:rsidR="00C412EC">
        <w:rPr>
          <w:rStyle w:val="apple-converted-space"/>
          <w:rFonts w:ascii="MinionPro-Regular" w:hAnsi="MinionPro-Regular"/>
          <w:color w:val="000000"/>
          <w:sz w:val="26"/>
          <w:szCs w:val="26"/>
          <w:shd w:val="clear" w:color="auto" w:fill="FFFFFF"/>
        </w:rPr>
        <w:t>n with the normal healthy aging which distinguished their level of anxiety.  Both groups showed a predominance distribution of theta and alpha at the frontal regions, but the presence of theta are high</w:t>
      </w:r>
      <w:r w:rsidR="00EE04E5">
        <w:rPr>
          <w:rStyle w:val="apple-converted-space"/>
          <w:rFonts w:ascii="MinionPro-Regular" w:hAnsi="MinionPro-Regular"/>
          <w:color w:val="000000"/>
          <w:sz w:val="26"/>
          <w:szCs w:val="26"/>
          <w:shd w:val="clear" w:color="auto" w:fill="FFFFFF"/>
        </w:rPr>
        <w:t xml:space="preserve">est </w:t>
      </w:r>
      <w:r w:rsidR="00C412EC">
        <w:rPr>
          <w:rStyle w:val="apple-converted-space"/>
          <w:rFonts w:ascii="MinionPro-Regular" w:hAnsi="MinionPro-Regular"/>
          <w:color w:val="000000"/>
          <w:sz w:val="26"/>
          <w:szCs w:val="26"/>
          <w:shd w:val="clear" w:color="auto" w:fill="FFFFFF"/>
        </w:rPr>
        <w:t xml:space="preserve">at </w:t>
      </w:r>
      <w:r w:rsidR="00EE04E5">
        <w:rPr>
          <w:rStyle w:val="apple-converted-space"/>
          <w:rFonts w:ascii="MinionPro-Regular" w:hAnsi="MinionPro-Regular"/>
          <w:color w:val="000000"/>
          <w:sz w:val="26"/>
          <w:szCs w:val="26"/>
          <w:shd w:val="clear" w:color="auto" w:fill="FFFFFF"/>
        </w:rPr>
        <w:t xml:space="preserve">the parietal and temporal area indicating signs of cognitive decline among the MCI.  </w:t>
      </w:r>
      <w:r w:rsidR="00C412EC">
        <w:rPr>
          <w:rStyle w:val="apple-converted-space"/>
          <w:rFonts w:ascii="MinionPro-Regular" w:hAnsi="MinionPro-Regular"/>
          <w:color w:val="000000"/>
          <w:sz w:val="26"/>
          <w:szCs w:val="26"/>
          <w:shd w:val="clear" w:color="auto" w:fill="FFFFFF"/>
        </w:rPr>
        <w:t xml:space="preserve"> </w:t>
      </w:r>
      <w:r w:rsidR="00C412EC" w:rsidRPr="00450D3A">
        <w:rPr>
          <w:rStyle w:val="apple-converted-space"/>
          <w:color w:val="000000"/>
          <w:sz w:val="26"/>
          <w:szCs w:val="26"/>
          <w:shd w:val="clear" w:color="auto" w:fill="FFFFFF"/>
        </w:rPr>
        <w:t xml:space="preserve">The </w:t>
      </w:r>
      <w:r w:rsidR="00EE04E5" w:rsidRPr="00450D3A">
        <w:rPr>
          <w:rStyle w:val="apple-converted-space"/>
          <w:color w:val="000000"/>
          <w:sz w:val="26"/>
          <w:szCs w:val="26"/>
          <w:shd w:val="clear" w:color="auto" w:fill="FFFFFF"/>
        </w:rPr>
        <w:t xml:space="preserve">increase of theta and alpha power could be considered reliable in differentiating the normal aging and the MCI group.  </w:t>
      </w:r>
      <w:r w:rsidR="00BD2F33" w:rsidRPr="00450D3A">
        <w:rPr>
          <w:rFonts w:eastAsiaTheme="minorEastAsia"/>
          <w:color w:val="000000" w:themeColor="text1"/>
          <w:kern w:val="24"/>
        </w:rPr>
        <w:t xml:space="preserve">Increasing theta </w:t>
      </w:r>
      <w:proofErr w:type="gramStart"/>
      <w:r w:rsidR="00BD2F33" w:rsidRPr="00450D3A">
        <w:rPr>
          <w:rFonts w:eastAsiaTheme="minorEastAsia"/>
          <w:color w:val="000000" w:themeColor="text1"/>
          <w:kern w:val="24"/>
        </w:rPr>
        <w:t>have</w:t>
      </w:r>
      <w:proofErr w:type="gramEnd"/>
      <w:r w:rsidR="00BD2F33" w:rsidRPr="00450D3A">
        <w:rPr>
          <w:rFonts w:eastAsiaTheme="minorEastAsia"/>
          <w:color w:val="000000" w:themeColor="text1"/>
          <w:kern w:val="24"/>
        </w:rPr>
        <w:t xml:space="preserve"> been reliably associated with AHC atrophy as well as with memory deficits, a major risk for the development of </w:t>
      </w:r>
      <w:proofErr w:type="spellStart"/>
      <w:r w:rsidR="00BD2F33" w:rsidRPr="00450D3A">
        <w:rPr>
          <w:rFonts w:eastAsiaTheme="minorEastAsia"/>
          <w:color w:val="000000" w:themeColor="text1"/>
          <w:kern w:val="24"/>
        </w:rPr>
        <w:t>Alzheim</w:t>
      </w:r>
      <w:r w:rsidR="00E764F8">
        <w:rPr>
          <w:rFonts w:eastAsiaTheme="minorEastAsia"/>
          <w:color w:val="000000" w:themeColor="text1"/>
          <w:kern w:val="24"/>
        </w:rPr>
        <w:t>ers</w:t>
      </w:r>
      <w:proofErr w:type="spellEnd"/>
      <w:r w:rsidR="00E764F8">
        <w:rPr>
          <w:rFonts w:eastAsiaTheme="minorEastAsia"/>
          <w:color w:val="000000" w:themeColor="text1"/>
          <w:kern w:val="24"/>
        </w:rPr>
        <w:t>’ disease and MCI subjects [8]</w:t>
      </w:r>
      <w:r w:rsidR="00BD2F33" w:rsidRPr="00450D3A">
        <w:rPr>
          <w:rFonts w:eastAsiaTheme="minorEastAsia"/>
          <w:color w:val="000000" w:themeColor="text1"/>
          <w:kern w:val="24"/>
        </w:rPr>
        <w:t>.</w:t>
      </w:r>
      <w:r w:rsidR="005F7F7C">
        <w:rPr>
          <w:rFonts w:eastAsiaTheme="minorEastAsia"/>
          <w:color w:val="000000" w:themeColor="text1"/>
          <w:kern w:val="24"/>
        </w:rPr>
        <w:t xml:space="preserve">  A reduction of delta at the prefrontal area (F3, </w:t>
      </w:r>
      <w:proofErr w:type="spellStart"/>
      <w:r w:rsidR="005F7F7C">
        <w:rPr>
          <w:rFonts w:eastAsiaTheme="minorEastAsia"/>
          <w:color w:val="000000" w:themeColor="text1"/>
          <w:kern w:val="24"/>
        </w:rPr>
        <w:t>Fz</w:t>
      </w:r>
      <w:proofErr w:type="spellEnd"/>
      <w:r w:rsidR="005F7F7C">
        <w:rPr>
          <w:rFonts w:eastAsiaTheme="minorEastAsia"/>
          <w:color w:val="000000" w:themeColor="text1"/>
          <w:kern w:val="24"/>
        </w:rPr>
        <w:t>, F4) and the central regions (C3, Cz</w:t>
      </w:r>
      <w:proofErr w:type="gramStart"/>
      <w:r w:rsidR="005F7F7C">
        <w:rPr>
          <w:rFonts w:eastAsiaTheme="minorEastAsia"/>
          <w:color w:val="000000" w:themeColor="text1"/>
          <w:kern w:val="24"/>
        </w:rPr>
        <w:t>,C4</w:t>
      </w:r>
      <w:proofErr w:type="gramEnd"/>
      <w:r w:rsidR="005F7F7C">
        <w:rPr>
          <w:rFonts w:eastAsiaTheme="minorEastAsia"/>
          <w:color w:val="000000" w:themeColor="text1"/>
          <w:kern w:val="24"/>
        </w:rPr>
        <w:t xml:space="preserve">) </w:t>
      </w:r>
      <w:r w:rsidR="00E7146C">
        <w:rPr>
          <w:rFonts w:eastAsiaTheme="minorEastAsia"/>
          <w:color w:val="000000" w:themeColor="text1"/>
          <w:kern w:val="24"/>
        </w:rPr>
        <w:t xml:space="preserve">for the normal </w:t>
      </w:r>
      <w:r w:rsidR="005F7F7C">
        <w:rPr>
          <w:rFonts w:eastAsiaTheme="minorEastAsia"/>
          <w:color w:val="000000" w:themeColor="text1"/>
          <w:kern w:val="24"/>
        </w:rPr>
        <w:t>are associated with cognitive decline or hippocampal area.</w:t>
      </w:r>
    </w:p>
    <w:p w:rsidR="003A5627" w:rsidRPr="00450D3A" w:rsidRDefault="003A5627" w:rsidP="00363D69">
      <w:pPr>
        <w:pStyle w:val="NormalWeb"/>
        <w:kinsoku w:val="0"/>
        <w:overflowPunct w:val="0"/>
        <w:spacing w:before="77" w:beforeAutospacing="0" w:after="0" w:afterAutospacing="0"/>
        <w:textAlignment w:val="baseline"/>
        <w:rPr>
          <w:rStyle w:val="apple-converted-space"/>
          <w:color w:val="000000"/>
          <w:sz w:val="26"/>
          <w:szCs w:val="26"/>
          <w:shd w:val="clear" w:color="auto" w:fill="FFFFFF"/>
        </w:rPr>
      </w:pPr>
    </w:p>
    <w:p w:rsidR="00E764F8" w:rsidRPr="0084200A" w:rsidRDefault="00E764F8" w:rsidP="00E764F8">
      <w:pPr>
        <w:pStyle w:val="Els-acknowledgement"/>
        <w:jc w:val="both"/>
      </w:pPr>
      <w:r w:rsidRPr="0084200A">
        <w:t>Acknowledgements</w:t>
      </w:r>
    </w:p>
    <w:p w:rsidR="003A5627" w:rsidRDefault="00E764F8" w:rsidP="00E764F8">
      <w:pPr>
        <w:pStyle w:val="NormalWeb"/>
        <w:kinsoku w:val="0"/>
        <w:overflowPunct w:val="0"/>
        <w:spacing w:before="77" w:beforeAutospacing="0" w:after="0" w:afterAutospacing="0"/>
        <w:textAlignment w:val="baseline"/>
        <w:rPr>
          <w:rStyle w:val="apple-converted-space"/>
          <w:rFonts w:ascii="Times" w:hAnsi="Times"/>
          <w:color w:val="000000"/>
          <w:sz w:val="26"/>
          <w:szCs w:val="26"/>
          <w:shd w:val="clear" w:color="auto" w:fill="FFFFFF"/>
        </w:rPr>
      </w:pPr>
      <w:r>
        <w:t xml:space="preserve">This research is funded by the Ministry of Education in Malaysia.  </w:t>
      </w:r>
      <w:r w:rsidRPr="0084200A">
        <w:t xml:space="preserve">We are grateful to the </w:t>
      </w:r>
      <w:r w:rsidR="00F001EF">
        <w:t xml:space="preserve">Ministry and the Faculty of Cognitive Science and Human </w:t>
      </w:r>
      <w:proofErr w:type="gramStart"/>
      <w:r w:rsidR="00F001EF">
        <w:t>Development ,</w:t>
      </w:r>
      <w:proofErr w:type="gramEnd"/>
      <w:r w:rsidR="00F001EF">
        <w:t xml:space="preserve"> University of Malaysia for the facilities and equipment used in this research.  Finally, we would like to thank the </w:t>
      </w:r>
      <w:proofErr w:type="gramStart"/>
      <w:r>
        <w:t>volunteers  for</w:t>
      </w:r>
      <w:proofErr w:type="gramEnd"/>
      <w:r w:rsidRPr="0084200A">
        <w:t xml:space="preserve"> their </w:t>
      </w:r>
      <w:r>
        <w:t>consent and cooperation in t</w:t>
      </w:r>
      <w:r w:rsidRPr="0084200A">
        <w:t>h</w:t>
      </w:r>
      <w:r>
        <w:t>is</w:t>
      </w:r>
      <w:r w:rsidRPr="0084200A">
        <w:t xml:space="preserve"> research</w:t>
      </w:r>
    </w:p>
    <w:p w:rsidR="00E764F8" w:rsidRDefault="00E764F8" w:rsidP="00DB0FE7">
      <w:pPr>
        <w:pStyle w:val="NormalWeb"/>
        <w:kinsoku w:val="0"/>
        <w:overflowPunct w:val="0"/>
        <w:spacing w:before="77" w:beforeAutospacing="0" w:after="0" w:afterAutospacing="0"/>
        <w:textAlignment w:val="baseline"/>
        <w:rPr>
          <w:rStyle w:val="apple-converted-space"/>
          <w:rFonts w:ascii="Times" w:hAnsi="Times"/>
          <w:color w:val="000000"/>
          <w:sz w:val="26"/>
          <w:szCs w:val="26"/>
          <w:shd w:val="clear" w:color="auto" w:fill="FFFFFF"/>
        </w:rPr>
      </w:pPr>
    </w:p>
    <w:p w:rsidR="005E0DFE" w:rsidRDefault="005E0DFE" w:rsidP="00DB0FE7">
      <w:pPr>
        <w:pStyle w:val="NormalWeb"/>
        <w:kinsoku w:val="0"/>
        <w:overflowPunct w:val="0"/>
        <w:spacing w:before="77" w:beforeAutospacing="0" w:after="0" w:afterAutospacing="0"/>
        <w:textAlignment w:val="baseline"/>
        <w:rPr>
          <w:rStyle w:val="apple-converted-space"/>
          <w:rFonts w:ascii="Times" w:hAnsi="Times"/>
          <w:b/>
          <w:color w:val="000000"/>
          <w:sz w:val="26"/>
          <w:szCs w:val="26"/>
          <w:shd w:val="clear" w:color="auto" w:fill="FFFFFF"/>
        </w:rPr>
      </w:pPr>
    </w:p>
    <w:p w:rsidR="005E0DFE" w:rsidRDefault="005E0DFE" w:rsidP="00DB0FE7">
      <w:pPr>
        <w:pStyle w:val="NormalWeb"/>
        <w:kinsoku w:val="0"/>
        <w:overflowPunct w:val="0"/>
        <w:spacing w:before="77" w:beforeAutospacing="0" w:after="0" w:afterAutospacing="0"/>
        <w:textAlignment w:val="baseline"/>
        <w:rPr>
          <w:rStyle w:val="apple-converted-space"/>
          <w:rFonts w:ascii="Times" w:hAnsi="Times"/>
          <w:b/>
          <w:color w:val="000000"/>
          <w:sz w:val="26"/>
          <w:szCs w:val="26"/>
          <w:shd w:val="clear" w:color="auto" w:fill="FFFFFF"/>
        </w:rPr>
      </w:pPr>
    </w:p>
    <w:p w:rsidR="005E0DFE" w:rsidRDefault="005E0DFE" w:rsidP="00DB0FE7">
      <w:pPr>
        <w:pStyle w:val="NormalWeb"/>
        <w:kinsoku w:val="0"/>
        <w:overflowPunct w:val="0"/>
        <w:spacing w:before="77" w:beforeAutospacing="0" w:after="0" w:afterAutospacing="0"/>
        <w:textAlignment w:val="baseline"/>
        <w:rPr>
          <w:rStyle w:val="apple-converted-space"/>
          <w:rFonts w:ascii="Times" w:hAnsi="Times"/>
          <w:b/>
          <w:color w:val="000000"/>
          <w:sz w:val="26"/>
          <w:szCs w:val="26"/>
          <w:shd w:val="clear" w:color="auto" w:fill="FFFFFF"/>
        </w:rPr>
      </w:pPr>
    </w:p>
    <w:p w:rsidR="009E0EF4" w:rsidRPr="00F001EF" w:rsidRDefault="009E0EF4" w:rsidP="00DB0FE7">
      <w:pPr>
        <w:pStyle w:val="NormalWeb"/>
        <w:kinsoku w:val="0"/>
        <w:overflowPunct w:val="0"/>
        <w:spacing w:before="77" w:beforeAutospacing="0" w:after="0" w:afterAutospacing="0"/>
        <w:textAlignment w:val="baseline"/>
        <w:rPr>
          <w:rStyle w:val="apple-converted-space"/>
          <w:rFonts w:ascii="Times" w:hAnsi="Times"/>
          <w:b/>
          <w:color w:val="000000"/>
          <w:sz w:val="26"/>
          <w:szCs w:val="26"/>
          <w:shd w:val="clear" w:color="auto" w:fill="FFFFFF"/>
        </w:rPr>
      </w:pPr>
      <w:r w:rsidRPr="00F001EF">
        <w:rPr>
          <w:rStyle w:val="apple-converted-space"/>
          <w:rFonts w:ascii="Times" w:hAnsi="Times"/>
          <w:b/>
          <w:color w:val="000000"/>
          <w:sz w:val="26"/>
          <w:szCs w:val="26"/>
          <w:shd w:val="clear" w:color="auto" w:fill="FFFFFF"/>
        </w:rPr>
        <w:lastRenderedPageBreak/>
        <w:t>References</w:t>
      </w:r>
    </w:p>
    <w:p w:rsidR="009E0EF4" w:rsidRPr="00F001EF" w:rsidRDefault="009E0EF4" w:rsidP="00156717">
      <w:pPr>
        <w:pStyle w:val="NormalWeb"/>
        <w:kinsoku w:val="0"/>
        <w:overflowPunct w:val="0"/>
        <w:spacing w:before="77" w:beforeAutospacing="0" w:after="0" w:afterAutospacing="0"/>
        <w:textAlignment w:val="baseline"/>
        <w:rPr>
          <w:rStyle w:val="apple-converted-space"/>
          <w:rFonts w:ascii="Times" w:hAnsi="Times"/>
          <w:b/>
          <w:color w:val="000000"/>
          <w:sz w:val="26"/>
          <w:szCs w:val="26"/>
          <w:shd w:val="clear" w:color="auto" w:fill="FFFFFF"/>
        </w:rPr>
      </w:pPr>
    </w:p>
    <w:p w:rsidR="005E58C6" w:rsidRPr="0081736A" w:rsidRDefault="0073440D" w:rsidP="008173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[1] </w:t>
      </w:r>
      <w:proofErr w:type="spellStart"/>
      <w:r w:rsidR="005E58C6" w:rsidRPr="0081736A">
        <w:rPr>
          <w:rFonts w:ascii="Times New Roman" w:hAnsi="Times New Roman" w:cs="Times New Roman"/>
          <w:sz w:val="24"/>
          <w:szCs w:val="24"/>
          <w:lang w:val="en-US"/>
        </w:rPr>
        <w:t>Babiloni</w:t>
      </w:r>
      <w:proofErr w:type="spellEnd"/>
      <w:proofErr w:type="gramStart"/>
      <w:r w:rsidR="00B21A33">
        <w:rPr>
          <w:rFonts w:ascii="Times New Roman" w:hAnsi="Times New Roman" w:cs="Times New Roman"/>
          <w:sz w:val="24"/>
          <w:szCs w:val="24"/>
          <w:lang w:val="en-US"/>
        </w:rPr>
        <w:t>,</w:t>
      </w:r>
      <w:r w:rsidR="005E58C6" w:rsidRPr="0081736A">
        <w:rPr>
          <w:rFonts w:ascii="Times New Roman" w:hAnsi="Times New Roman" w:cs="Times New Roman"/>
          <w:sz w:val="24"/>
          <w:szCs w:val="24"/>
          <w:lang w:val="en-US"/>
        </w:rPr>
        <w:t>.</w:t>
      </w:r>
      <w:proofErr w:type="gramEnd"/>
      <w:r w:rsidR="005E58C6" w:rsidRPr="0081736A">
        <w:rPr>
          <w:rFonts w:ascii="Times New Roman" w:hAnsi="Times New Roman" w:cs="Times New Roman"/>
          <w:sz w:val="24"/>
          <w:szCs w:val="24"/>
          <w:lang w:val="en-US"/>
        </w:rPr>
        <w:t xml:space="preserve"> </w:t>
      </w:r>
      <w:proofErr w:type="spellStart"/>
      <w:r w:rsidR="005E58C6" w:rsidRPr="0081736A">
        <w:rPr>
          <w:rFonts w:ascii="Times New Roman" w:hAnsi="Times New Roman" w:cs="Times New Roman"/>
          <w:sz w:val="24"/>
          <w:szCs w:val="24"/>
          <w:lang w:val="en-US"/>
        </w:rPr>
        <w:t>Binetti</w:t>
      </w:r>
      <w:proofErr w:type="gramStart"/>
      <w:r w:rsidR="005E58C6" w:rsidRPr="0081736A">
        <w:rPr>
          <w:rFonts w:ascii="Times New Roman" w:hAnsi="Times New Roman" w:cs="Times New Roman"/>
          <w:sz w:val="24"/>
          <w:szCs w:val="24"/>
          <w:lang w:val="en-US"/>
        </w:rPr>
        <w:t>,</w:t>
      </w:r>
      <w:r w:rsidR="00B21A33">
        <w:rPr>
          <w:rFonts w:ascii="Times New Roman" w:hAnsi="Times New Roman" w:cs="Times New Roman"/>
          <w:sz w:val="24"/>
          <w:szCs w:val="24"/>
          <w:lang w:val="en-US"/>
        </w:rPr>
        <w:t>G</w:t>
      </w:r>
      <w:proofErr w:type="spellEnd"/>
      <w:proofErr w:type="gramEnd"/>
      <w:r w:rsidR="00B21A33">
        <w:rPr>
          <w:rFonts w:ascii="Times New Roman" w:hAnsi="Times New Roman" w:cs="Times New Roman"/>
          <w:sz w:val="24"/>
          <w:szCs w:val="24"/>
          <w:lang w:val="en-US"/>
        </w:rPr>
        <w:t>.,</w:t>
      </w:r>
      <w:r w:rsidR="005E58C6" w:rsidRPr="0081736A">
        <w:rPr>
          <w:rFonts w:ascii="Times New Roman" w:hAnsi="Times New Roman" w:cs="Times New Roman"/>
          <w:sz w:val="24"/>
          <w:szCs w:val="24"/>
          <w:lang w:val="en-US"/>
        </w:rPr>
        <w:t xml:space="preserve"> E. </w:t>
      </w:r>
      <w:proofErr w:type="spellStart"/>
      <w:r w:rsidR="005E58C6" w:rsidRPr="0081736A">
        <w:rPr>
          <w:rFonts w:ascii="Times New Roman" w:hAnsi="Times New Roman" w:cs="Times New Roman"/>
          <w:sz w:val="24"/>
          <w:szCs w:val="24"/>
          <w:lang w:val="en-US"/>
        </w:rPr>
        <w:t>Cassetta</w:t>
      </w:r>
      <w:proofErr w:type="spellEnd"/>
      <w:r w:rsidR="00B21A33">
        <w:rPr>
          <w:rFonts w:ascii="Times New Roman" w:hAnsi="Times New Roman" w:cs="Times New Roman"/>
          <w:sz w:val="24"/>
          <w:szCs w:val="24"/>
          <w:lang w:val="en-US"/>
        </w:rPr>
        <w:t>, E</w:t>
      </w:r>
      <w:r w:rsidR="005E58C6" w:rsidRPr="0081736A">
        <w:rPr>
          <w:rFonts w:ascii="Times New Roman" w:hAnsi="Times New Roman" w:cs="Times New Roman"/>
          <w:sz w:val="24"/>
          <w:szCs w:val="24"/>
          <w:lang w:val="en-US"/>
        </w:rPr>
        <w:t>. (2004), Mapping distributed sources of cortical rhythms in mild Alzheimer’s</w:t>
      </w:r>
      <w:r w:rsidR="0081736A" w:rsidRPr="0081736A">
        <w:rPr>
          <w:rFonts w:ascii="Times New Roman" w:hAnsi="Times New Roman" w:cs="Times New Roman"/>
          <w:sz w:val="24"/>
          <w:szCs w:val="24"/>
          <w:lang w:val="en-US"/>
        </w:rPr>
        <w:t xml:space="preserve"> </w:t>
      </w:r>
      <w:r w:rsidR="005E58C6" w:rsidRPr="0081736A">
        <w:rPr>
          <w:rFonts w:ascii="Times New Roman" w:hAnsi="Times New Roman" w:cs="Times New Roman"/>
          <w:sz w:val="24"/>
          <w:szCs w:val="24"/>
          <w:lang w:val="en-US"/>
        </w:rPr>
        <w:t xml:space="preserve">disease. </w:t>
      </w:r>
      <w:proofErr w:type="gramStart"/>
      <w:r w:rsidR="005E58C6" w:rsidRPr="0081736A">
        <w:rPr>
          <w:rFonts w:ascii="Times New Roman" w:hAnsi="Times New Roman" w:cs="Times New Roman"/>
          <w:sz w:val="24"/>
          <w:szCs w:val="24"/>
          <w:lang w:val="en-US"/>
        </w:rPr>
        <w:t xml:space="preserve">A </w:t>
      </w:r>
      <w:proofErr w:type="spellStart"/>
      <w:r w:rsidR="005E58C6" w:rsidRPr="0081736A">
        <w:rPr>
          <w:rFonts w:ascii="Times New Roman" w:hAnsi="Times New Roman" w:cs="Times New Roman"/>
          <w:sz w:val="24"/>
          <w:szCs w:val="24"/>
          <w:lang w:val="en-US"/>
        </w:rPr>
        <w:t>multicentric</w:t>
      </w:r>
      <w:proofErr w:type="spellEnd"/>
      <w:r w:rsidR="005E58C6" w:rsidRPr="0081736A">
        <w:rPr>
          <w:rFonts w:ascii="Times New Roman" w:hAnsi="Times New Roman" w:cs="Times New Roman"/>
          <w:sz w:val="24"/>
          <w:szCs w:val="24"/>
          <w:lang w:val="en-US"/>
        </w:rPr>
        <w:t xml:space="preserve"> EEG study, </w:t>
      </w:r>
      <w:proofErr w:type="spellStart"/>
      <w:r w:rsidR="005E58C6" w:rsidRPr="0081736A">
        <w:rPr>
          <w:rFonts w:ascii="Times New Roman" w:hAnsi="Times New Roman" w:cs="Times New Roman"/>
          <w:sz w:val="24"/>
          <w:szCs w:val="24"/>
          <w:lang w:val="en-US"/>
        </w:rPr>
        <w:t>NeuroImage</w:t>
      </w:r>
      <w:proofErr w:type="spellEnd"/>
      <w:r w:rsidR="005E58C6" w:rsidRPr="0081736A">
        <w:rPr>
          <w:rFonts w:ascii="Times New Roman" w:hAnsi="Times New Roman" w:cs="Times New Roman"/>
          <w:sz w:val="24"/>
          <w:szCs w:val="24"/>
          <w:lang w:val="en-US"/>
        </w:rPr>
        <w:t>, vol. 22, no. 1, pp. 57–67.</w:t>
      </w:r>
      <w:proofErr w:type="gramEnd"/>
    </w:p>
    <w:p w:rsidR="0081736A" w:rsidRPr="0081736A" w:rsidRDefault="0081736A" w:rsidP="005E58C6">
      <w:pPr>
        <w:pStyle w:val="NormalWeb"/>
        <w:kinsoku w:val="0"/>
        <w:overflowPunct w:val="0"/>
        <w:spacing w:before="77" w:beforeAutospacing="0" w:after="0" w:afterAutospacing="0"/>
        <w:textAlignment w:val="baseline"/>
        <w:rPr>
          <w:rStyle w:val="apple-converted-space"/>
          <w:shd w:val="clear" w:color="auto" w:fill="FFFFFF"/>
        </w:rPr>
      </w:pPr>
    </w:p>
    <w:p w:rsidR="0081736A" w:rsidRPr="0081736A" w:rsidRDefault="0073440D" w:rsidP="008173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0081736A" w:rsidRPr="0081736A">
        <w:rPr>
          <w:rFonts w:ascii="Times New Roman" w:hAnsi="Times New Roman" w:cs="Times New Roman"/>
          <w:sz w:val="24"/>
          <w:szCs w:val="24"/>
          <w:lang w:val="en-US"/>
        </w:rPr>
        <w:t>Dierks</w:t>
      </w:r>
      <w:proofErr w:type="spellEnd"/>
      <w:r w:rsidR="0081736A" w:rsidRPr="0081736A">
        <w:rPr>
          <w:rFonts w:ascii="Times New Roman" w:hAnsi="Times New Roman" w:cs="Times New Roman"/>
          <w:sz w:val="24"/>
          <w:szCs w:val="24"/>
          <w:lang w:val="en-US"/>
        </w:rPr>
        <w:t xml:space="preserve">, T., </w:t>
      </w:r>
      <w:proofErr w:type="spellStart"/>
      <w:r w:rsidR="0081736A" w:rsidRPr="0081736A">
        <w:rPr>
          <w:rFonts w:ascii="Times New Roman" w:hAnsi="Times New Roman" w:cs="Times New Roman"/>
          <w:sz w:val="24"/>
          <w:szCs w:val="24"/>
          <w:lang w:val="en-US"/>
        </w:rPr>
        <w:t>Ihl</w:t>
      </w:r>
      <w:proofErr w:type="spellEnd"/>
      <w:r w:rsidR="0081736A" w:rsidRPr="0081736A">
        <w:rPr>
          <w:rFonts w:ascii="Times New Roman" w:hAnsi="Times New Roman" w:cs="Times New Roman"/>
          <w:sz w:val="24"/>
          <w:szCs w:val="24"/>
          <w:lang w:val="en-US"/>
        </w:rPr>
        <w:t xml:space="preserve">, R., </w:t>
      </w:r>
      <w:proofErr w:type="spellStart"/>
      <w:r w:rsidR="0081736A" w:rsidRPr="0081736A">
        <w:rPr>
          <w:rFonts w:ascii="Times New Roman" w:hAnsi="Times New Roman" w:cs="Times New Roman"/>
          <w:sz w:val="24"/>
          <w:szCs w:val="24"/>
          <w:lang w:val="en-US"/>
        </w:rPr>
        <w:t>Frolich</w:t>
      </w:r>
      <w:proofErr w:type="spellEnd"/>
      <w:r w:rsidR="0081736A" w:rsidRPr="0081736A">
        <w:rPr>
          <w:rFonts w:ascii="Times New Roman" w:hAnsi="Times New Roman" w:cs="Times New Roman"/>
          <w:sz w:val="24"/>
          <w:szCs w:val="24"/>
          <w:lang w:val="en-US"/>
        </w:rPr>
        <w:t>, L., &amp; Maurer, K. (1993). Dementia of the Alzheimer type: effects on the spontaneous EEG described by dipole sources, Psychiatry Research—Neuroimaging, vol. 50, no. 3, pp. 151–162.</w:t>
      </w:r>
    </w:p>
    <w:p w:rsidR="0081736A" w:rsidRPr="0081736A" w:rsidRDefault="0081736A" w:rsidP="0081736A">
      <w:pPr>
        <w:autoSpaceDE w:val="0"/>
        <w:autoSpaceDN w:val="0"/>
        <w:adjustRightInd w:val="0"/>
        <w:spacing w:after="0" w:line="240" w:lineRule="auto"/>
        <w:rPr>
          <w:rFonts w:ascii="Times New Roman" w:hAnsi="Times New Roman" w:cs="Times New Roman"/>
          <w:sz w:val="24"/>
          <w:szCs w:val="24"/>
          <w:lang w:val="en-US"/>
        </w:rPr>
      </w:pPr>
    </w:p>
    <w:p w:rsidR="005E58C6" w:rsidRPr="0081736A" w:rsidRDefault="0073440D" w:rsidP="008173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[3] </w:t>
      </w:r>
      <w:r w:rsidR="0081736A" w:rsidRPr="0081736A">
        <w:rPr>
          <w:rFonts w:ascii="Times New Roman" w:hAnsi="Times New Roman" w:cs="Times New Roman"/>
          <w:sz w:val="24"/>
          <w:szCs w:val="24"/>
          <w:lang w:val="en-US"/>
        </w:rPr>
        <w:t xml:space="preserve">Flicker, C., Ferris S.H., &amp; </w:t>
      </w:r>
      <w:proofErr w:type="spellStart"/>
      <w:r w:rsidR="0081736A" w:rsidRPr="0081736A">
        <w:rPr>
          <w:rFonts w:ascii="Times New Roman" w:hAnsi="Times New Roman" w:cs="Times New Roman"/>
          <w:sz w:val="24"/>
          <w:szCs w:val="24"/>
          <w:lang w:val="en-US"/>
        </w:rPr>
        <w:t>Reisberg</w:t>
      </w:r>
      <w:proofErr w:type="spellEnd"/>
      <w:r w:rsidR="0081736A" w:rsidRPr="0081736A">
        <w:rPr>
          <w:rFonts w:ascii="Times New Roman" w:hAnsi="Times New Roman" w:cs="Times New Roman"/>
          <w:sz w:val="24"/>
          <w:szCs w:val="24"/>
          <w:lang w:val="en-US"/>
        </w:rPr>
        <w:t xml:space="preserve">, B. (1991). Mild cognitive impairment in the elderly: predictors of dementia. </w:t>
      </w:r>
      <w:proofErr w:type="gramStart"/>
      <w:r w:rsidR="0081736A" w:rsidRPr="0081736A">
        <w:rPr>
          <w:rFonts w:ascii="Times New Roman" w:hAnsi="Times New Roman" w:cs="Times New Roman"/>
          <w:sz w:val="24"/>
          <w:szCs w:val="24"/>
          <w:lang w:val="en-US"/>
        </w:rPr>
        <w:t>Neurology.</w:t>
      </w:r>
      <w:proofErr w:type="gramEnd"/>
      <w:r w:rsidR="0081736A" w:rsidRPr="0081736A">
        <w:rPr>
          <w:rFonts w:ascii="Times New Roman" w:hAnsi="Times New Roman" w:cs="Times New Roman"/>
          <w:sz w:val="24"/>
          <w:szCs w:val="24"/>
          <w:lang w:val="en-US"/>
        </w:rPr>
        <w:t xml:space="preserve"> Vol. 41(7):1006–1009.</w:t>
      </w:r>
    </w:p>
    <w:p w:rsidR="0081736A" w:rsidRPr="0081736A" w:rsidRDefault="0081736A" w:rsidP="0081736A">
      <w:pPr>
        <w:pStyle w:val="NormalWeb"/>
        <w:kinsoku w:val="0"/>
        <w:overflowPunct w:val="0"/>
        <w:spacing w:before="77" w:beforeAutospacing="0" w:after="0" w:afterAutospacing="0"/>
        <w:textAlignment w:val="baseline"/>
      </w:pPr>
    </w:p>
    <w:p w:rsidR="0081736A" w:rsidRPr="0081736A" w:rsidRDefault="0073440D" w:rsidP="008173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0081736A" w:rsidRPr="0081736A">
        <w:rPr>
          <w:rFonts w:ascii="Times New Roman" w:hAnsi="Times New Roman" w:cs="Times New Roman"/>
          <w:sz w:val="24"/>
          <w:szCs w:val="24"/>
          <w:lang w:val="en-US"/>
        </w:rPr>
        <w:t>Leuchter</w:t>
      </w:r>
      <w:proofErr w:type="spellEnd"/>
      <w:r w:rsidR="0081736A" w:rsidRPr="0081736A">
        <w:rPr>
          <w:rFonts w:ascii="Times New Roman" w:hAnsi="Times New Roman" w:cs="Times New Roman"/>
          <w:sz w:val="24"/>
          <w:szCs w:val="24"/>
          <w:lang w:val="en-US"/>
        </w:rPr>
        <w:t xml:space="preserve">, A. F., Cook, I. A., Newton T. F. et al. (1993), Regional differences in brain electrical activity in dementia: use of spectral power and spectral ratio measures, </w:t>
      </w:r>
      <w:proofErr w:type="spellStart"/>
      <w:r w:rsidR="0081736A" w:rsidRPr="0081736A">
        <w:rPr>
          <w:rFonts w:ascii="Times New Roman" w:hAnsi="Times New Roman" w:cs="Times New Roman"/>
          <w:sz w:val="24"/>
          <w:szCs w:val="24"/>
          <w:lang w:val="en-US"/>
        </w:rPr>
        <w:t>Electroencephalographyand</w:t>
      </w:r>
      <w:proofErr w:type="spellEnd"/>
      <w:r w:rsidR="0081736A" w:rsidRPr="0081736A">
        <w:rPr>
          <w:rFonts w:ascii="Times New Roman" w:hAnsi="Times New Roman" w:cs="Times New Roman"/>
          <w:sz w:val="24"/>
          <w:szCs w:val="24"/>
          <w:lang w:val="en-US"/>
        </w:rPr>
        <w:t xml:space="preserve"> Clinical Neurophysiology, vol. 87, no. 6, pp.</w:t>
      </w:r>
    </w:p>
    <w:p w:rsidR="0081736A" w:rsidRPr="0081736A" w:rsidRDefault="0081736A" w:rsidP="0081736A">
      <w:pPr>
        <w:pStyle w:val="NormalWeb"/>
        <w:kinsoku w:val="0"/>
        <w:overflowPunct w:val="0"/>
        <w:spacing w:before="77" w:beforeAutospacing="0" w:after="0" w:afterAutospacing="0"/>
        <w:textAlignment w:val="baseline"/>
      </w:pPr>
      <w:proofErr w:type="gramStart"/>
      <w:r w:rsidRPr="0081736A">
        <w:t>385–393.</w:t>
      </w:r>
      <w:proofErr w:type="gramEnd"/>
    </w:p>
    <w:p w:rsidR="0081736A" w:rsidRPr="0081736A" w:rsidRDefault="0081736A" w:rsidP="0081736A">
      <w:pPr>
        <w:pStyle w:val="NormalWeb"/>
        <w:kinsoku w:val="0"/>
        <w:overflowPunct w:val="0"/>
        <w:spacing w:before="77" w:beforeAutospacing="0" w:after="0" w:afterAutospacing="0"/>
        <w:textAlignment w:val="baseline"/>
      </w:pPr>
    </w:p>
    <w:p w:rsidR="005E58C6" w:rsidRPr="0081736A" w:rsidRDefault="0073440D" w:rsidP="005F7F7C">
      <w:pPr>
        <w:shd w:val="clear" w:color="auto" w:fill="FFFFFF"/>
        <w:spacing w:after="0" w:line="30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proofErr w:type="spellStart"/>
      <w:r w:rsidR="005E58C6" w:rsidRPr="005E58C6">
        <w:rPr>
          <w:rFonts w:ascii="Times New Roman" w:eastAsia="Times New Roman" w:hAnsi="Times New Roman" w:cs="Times New Roman"/>
          <w:sz w:val="24"/>
          <w:szCs w:val="24"/>
          <w:lang w:val="en-US"/>
        </w:rPr>
        <w:t>Moretti</w:t>
      </w:r>
      <w:proofErr w:type="spellEnd"/>
      <w:r w:rsidR="005E58C6" w:rsidRPr="005E58C6">
        <w:rPr>
          <w:rFonts w:ascii="Times New Roman" w:eastAsia="Times New Roman" w:hAnsi="Times New Roman" w:cs="Times New Roman"/>
          <w:sz w:val="24"/>
          <w:szCs w:val="24"/>
          <w:lang w:val="en-US"/>
        </w:rPr>
        <w:t>,</w:t>
      </w:r>
      <w:r w:rsidR="005F7F7C">
        <w:rPr>
          <w:rFonts w:ascii="Times New Roman" w:eastAsia="Times New Roman" w:hAnsi="Times New Roman" w:cs="Times New Roman"/>
          <w:sz w:val="24"/>
          <w:szCs w:val="24"/>
          <w:lang w:val="en-US"/>
        </w:rPr>
        <w:t xml:space="preserve"> D.V</w:t>
      </w:r>
      <w:proofErr w:type="gramStart"/>
      <w:r w:rsidR="005F7F7C">
        <w:rPr>
          <w:rFonts w:ascii="Times New Roman" w:eastAsia="Times New Roman" w:hAnsi="Times New Roman" w:cs="Times New Roman"/>
          <w:sz w:val="24"/>
          <w:szCs w:val="24"/>
          <w:lang w:val="en-US"/>
        </w:rPr>
        <w:t xml:space="preserve">, </w:t>
      </w:r>
      <w:r w:rsidR="005E58C6" w:rsidRPr="005E58C6">
        <w:rPr>
          <w:rFonts w:ascii="Times New Roman" w:eastAsia="Times New Roman" w:hAnsi="Times New Roman" w:cs="Times New Roman"/>
          <w:sz w:val="24"/>
          <w:szCs w:val="24"/>
          <w:lang w:val="en-US"/>
        </w:rPr>
        <w:t xml:space="preserve"> </w:t>
      </w:r>
      <w:proofErr w:type="spellStart"/>
      <w:r w:rsidR="005E58C6" w:rsidRPr="005E58C6">
        <w:rPr>
          <w:rFonts w:ascii="Times New Roman" w:eastAsia="Times New Roman" w:hAnsi="Times New Roman" w:cs="Times New Roman"/>
          <w:sz w:val="24"/>
          <w:szCs w:val="24"/>
          <w:lang w:val="en-US"/>
        </w:rPr>
        <w:t>Miniussi,</w:t>
      </w:r>
      <w:r w:rsidR="005F7F7C">
        <w:rPr>
          <w:rFonts w:ascii="Times New Roman" w:eastAsia="Times New Roman" w:hAnsi="Times New Roman" w:cs="Times New Roman"/>
          <w:sz w:val="24"/>
          <w:szCs w:val="24"/>
          <w:lang w:val="en-US"/>
        </w:rPr>
        <w:t>C</w:t>
      </w:r>
      <w:proofErr w:type="spellEnd"/>
      <w:proofErr w:type="gramEnd"/>
      <w:r w:rsidR="005F7F7C">
        <w:rPr>
          <w:rFonts w:ascii="Times New Roman" w:eastAsia="Times New Roman" w:hAnsi="Times New Roman" w:cs="Times New Roman"/>
          <w:sz w:val="24"/>
          <w:szCs w:val="24"/>
          <w:lang w:val="en-US"/>
        </w:rPr>
        <w:t>,</w:t>
      </w:r>
      <w:r w:rsidR="005E58C6" w:rsidRPr="005E58C6">
        <w:rPr>
          <w:rFonts w:ascii="Times New Roman" w:eastAsia="Times New Roman" w:hAnsi="Times New Roman" w:cs="Times New Roman"/>
          <w:sz w:val="24"/>
          <w:szCs w:val="24"/>
          <w:lang w:val="en-US"/>
        </w:rPr>
        <w:t xml:space="preserve">. </w:t>
      </w:r>
      <w:proofErr w:type="spellStart"/>
      <w:r w:rsidR="005E58C6" w:rsidRPr="005E58C6">
        <w:rPr>
          <w:rFonts w:ascii="Times New Roman" w:eastAsia="Times New Roman" w:hAnsi="Times New Roman" w:cs="Times New Roman"/>
          <w:sz w:val="24"/>
          <w:szCs w:val="24"/>
          <w:lang w:val="en-US"/>
        </w:rPr>
        <w:t>Frisoni</w:t>
      </w:r>
      <w:proofErr w:type="spellEnd"/>
      <w:r w:rsidR="005E58C6" w:rsidRPr="005E58C6">
        <w:rPr>
          <w:rFonts w:ascii="Times New Roman" w:eastAsia="Times New Roman" w:hAnsi="Times New Roman" w:cs="Times New Roman"/>
          <w:sz w:val="24"/>
          <w:szCs w:val="24"/>
          <w:lang w:val="en-US"/>
        </w:rPr>
        <w:t xml:space="preserve"> </w:t>
      </w:r>
      <w:r w:rsidR="005F7F7C" w:rsidRPr="005E58C6">
        <w:rPr>
          <w:rFonts w:ascii="Times New Roman" w:eastAsia="Times New Roman" w:hAnsi="Times New Roman" w:cs="Times New Roman"/>
          <w:sz w:val="24"/>
          <w:szCs w:val="24"/>
          <w:lang w:val="en-US"/>
        </w:rPr>
        <w:t xml:space="preserve">G. </w:t>
      </w:r>
      <w:proofErr w:type="gramStart"/>
      <w:r w:rsidR="005F7F7C" w:rsidRPr="005E58C6">
        <w:rPr>
          <w:rFonts w:ascii="Times New Roman" w:eastAsia="Times New Roman" w:hAnsi="Times New Roman" w:cs="Times New Roman"/>
          <w:sz w:val="24"/>
          <w:szCs w:val="24"/>
          <w:lang w:val="en-US"/>
        </w:rPr>
        <w:t xml:space="preserve">B </w:t>
      </w:r>
      <w:r w:rsidR="005F7F7C">
        <w:rPr>
          <w:rFonts w:ascii="Times New Roman" w:eastAsia="Times New Roman" w:hAnsi="Times New Roman" w:cs="Times New Roman"/>
          <w:sz w:val="24"/>
          <w:szCs w:val="24"/>
          <w:lang w:val="en-US"/>
        </w:rPr>
        <w:t xml:space="preserve"> (</w:t>
      </w:r>
      <w:proofErr w:type="gramEnd"/>
      <w:r w:rsidR="005F7F7C">
        <w:rPr>
          <w:rFonts w:ascii="Times New Roman" w:eastAsia="Times New Roman" w:hAnsi="Times New Roman" w:cs="Times New Roman"/>
          <w:sz w:val="24"/>
          <w:szCs w:val="24"/>
          <w:lang w:val="en-US"/>
        </w:rPr>
        <w:t xml:space="preserve">2007) </w:t>
      </w:r>
      <w:r w:rsidR="005E58C6" w:rsidRPr="005E58C6">
        <w:rPr>
          <w:rFonts w:ascii="Times New Roman" w:eastAsia="Times New Roman" w:hAnsi="Times New Roman" w:cs="Times New Roman"/>
          <w:sz w:val="24"/>
          <w:szCs w:val="24"/>
          <w:lang w:val="en-US"/>
        </w:rPr>
        <w:t xml:space="preserve"> “Hippocampal atrophy and EEG markers in subjects with mild cognitive impairment,” Clinical Neurophysiology, vol. 118, no. 12, pp. 2716–2729, 2007.</w:t>
      </w:r>
      <w:r w:rsidR="005E58C6" w:rsidRPr="005E58C6">
        <w:rPr>
          <w:rFonts w:ascii="Times New Roman" w:eastAsia="Times New Roman" w:hAnsi="Times New Roman" w:cs="Times New Roman"/>
          <w:sz w:val="24"/>
          <w:szCs w:val="24"/>
          <w:bdr w:val="none" w:sz="0" w:space="0" w:color="auto" w:frame="1"/>
          <w:lang w:val="en-US"/>
        </w:rPr>
        <w:t> </w:t>
      </w:r>
    </w:p>
    <w:p w:rsidR="005E58C6" w:rsidRPr="005E58C6" w:rsidRDefault="005E58C6" w:rsidP="005E58C6">
      <w:pPr>
        <w:shd w:val="clear" w:color="auto" w:fill="FFFFFF"/>
        <w:spacing w:after="0" w:line="300" w:lineRule="atLeast"/>
        <w:jc w:val="both"/>
        <w:rPr>
          <w:rFonts w:ascii="Times New Roman" w:eastAsia="Times New Roman" w:hAnsi="Times New Roman" w:cs="Times New Roman"/>
          <w:sz w:val="24"/>
          <w:szCs w:val="24"/>
          <w:lang w:val="en-US"/>
        </w:rPr>
      </w:pPr>
    </w:p>
    <w:p w:rsidR="005E58C6" w:rsidRPr="0081736A" w:rsidRDefault="0073440D" w:rsidP="005F7F7C">
      <w:pPr>
        <w:shd w:val="clear" w:color="auto" w:fill="FFFFFF"/>
        <w:spacing w:after="0" w:line="30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roofErr w:type="spellStart"/>
      <w:r w:rsidR="005E58C6" w:rsidRPr="005E58C6">
        <w:rPr>
          <w:rFonts w:ascii="Times New Roman" w:eastAsia="Times New Roman" w:hAnsi="Times New Roman" w:cs="Times New Roman"/>
          <w:sz w:val="24"/>
          <w:szCs w:val="24"/>
          <w:lang w:val="en-US"/>
        </w:rPr>
        <w:t>Moretti</w:t>
      </w:r>
      <w:proofErr w:type="spellEnd"/>
      <w:r w:rsidR="005F7F7C" w:rsidRPr="005F7F7C">
        <w:rPr>
          <w:rFonts w:ascii="Times New Roman" w:eastAsia="Times New Roman" w:hAnsi="Times New Roman" w:cs="Times New Roman"/>
          <w:sz w:val="24"/>
          <w:szCs w:val="24"/>
          <w:lang w:val="en-US"/>
        </w:rPr>
        <w:t xml:space="preserve"> </w:t>
      </w:r>
      <w:r w:rsidR="005F7F7C" w:rsidRPr="005E58C6">
        <w:rPr>
          <w:rFonts w:ascii="Times New Roman" w:eastAsia="Times New Roman" w:hAnsi="Times New Roman" w:cs="Times New Roman"/>
          <w:sz w:val="24"/>
          <w:szCs w:val="24"/>
          <w:lang w:val="en-US"/>
        </w:rPr>
        <w:t>D. V.</w:t>
      </w:r>
      <w:r w:rsidR="005E58C6" w:rsidRPr="005E58C6">
        <w:rPr>
          <w:rFonts w:ascii="Times New Roman" w:eastAsia="Times New Roman" w:hAnsi="Times New Roman" w:cs="Times New Roman"/>
          <w:sz w:val="24"/>
          <w:szCs w:val="24"/>
          <w:lang w:val="en-US"/>
        </w:rPr>
        <w:t>,</w:t>
      </w:r>
      <w:r w:rsidR="005F7F7C">
        <w:rPr>
          <w:rFonts w:ascii="Times New Roman" w:eastAsia="Times New Roman" w:hAnsi="Times New Roman" w:cs="Times New Roman"/>
          <w:sz w:val="24"/>
          <w:szCs w:val="24"/>
          <w:lang w:val="en-US"/>
        </w:rPr>
        <w:t xml:space="preserve"> </w:t>
      </w:r>
      <w:proofErr w:type="spellStart"/>
      <w:r w:rsidR="005E58C6" w:rsidRPr="005E58C6">
        <w:rPr>
          <w:rFonts w:ascii="Times New Roman" w:eastAsia="Times New Roman" w:hAnsi="Times New Roman" w:cs="Times New Roman"/>
          <w:sz w:val="24"/>
          <w:szCs w:val="24"/>
          <w:lang w:val="en-US"/>
        </w:rPr>
        <w:t>Pievani</w:t>
      </w:r>
      <w:proofErr w:type="spellEnd"/>
      <w:r w:rsidR="005F7F7C" w:rsidRPr="005F7F7C">
        <w:rPr>
          <w:rFonts w:ascii="Times New Roman" w:eastAsia="Times New Roman" w:hAnsi="Times New Roman" w:cs="Times New Roman"/>
          <w:sz w:val="24"/>
          <w:szCs w:val="24"/>
          <w:lang w:val="en-US"/>
        </w:rPr>
        <w:t xml:space="preserve"> </w:t>
      </w:r>
      <w:r w:rsidR="005F7F7C" w:rsidRPr="005E58C6">
        <w:rPr>
          <w:rFonts w:ascii="Times New Roman" w:eastAsia="Times New Roman" w:hAnsi="Times New Roman" w:cs="Times New Roman"/>
          <w:sz w:val="24"/>
          <w:szCs w:val="24"/>
          <w:lang w:val="en-US"/>
        </w:rPr>
        <w:t>M</w:t>
      </w:r>
      <w:r w:rsidR="005E58C6" w:rsidRPr="005E58C6">
        <w:rPr>
          <w:rFonts w:ascii="Times New Roman" w:eastAsia="Times New Roman" w:hAnsi="Times New Roman" w:cs="Times New Roman"/>
          <w:sz w:val="24"/>
          <w:szCs w:val="24"/>
          <w:lang w:val="en-US"/>
        </w:rPr>
        <w:t xml:space="preserve">, C. </w:t>
      </w:r>
      <w:proofErr w:type="spellStart"/>
      <w:r w:rsidR="005E58C6" w:rsidRPr="005E58C6">
        <w:rPr>
          <w:rFonts w:ascii="Times New Roman" w:eastAsia="Times New Roman" w:hAnsi="Times New Roman" w:cs="Times New Roman"/>
          <w:sz w:val="24"/>
          <w:szCs w:val="24"/>
          <w:lang w:val="en-US"/>
        </w:rPr>
        <w:t>Fracassi</w:t>
      </w:r>
      <w:proofErr w:type="spellEnd"/>
      <w:r w:rsidR="005E58C6" w:rsidRPr="005E58C6">
        <w:rPr>
          <w:rFonts w:ascii="Times New Roman" w:eastAsia="Times New Roman" w:hAnsi="Times New Roman" w:cs="Times New Roman"/>
          <w:sz w:val="24"/>
          <w:szCs w:val="24"/>
          <w:lang w:val="en-US"/>
        </w:rPr>
        <w:t xml:space="preserve"> </w:t>
      </w:r>
      <w:r w:rsidR="00511ABD">
        <w:rPr>
          <w:rFonts w:ascii="Times New Roman" w:eastAsia="Times New Roman" w:hAnsi="Times New Roman" w:cs="Times New Roman"/>
          <w:sz w:val="24"/>
          <w:szCs w:val="24"/>
          <w:lang w:val="en-US"/>
        </w:rPr>
        <w:t xml:space="preserve">C., </w:t>
      </w:r>
      <w:r w:rsidR="005F7F7C">
        <w:rPr>
          <w:rFonts w:ascii="Times New Roman" w:eastAsia="Times New Roman" w:hAnsi="Times New Roman" w:cs="Times New Roman"/>
          <w:sz w:val="24"/>
          <w:szCs w:val="24"/>
          <w:lang w:val="en-US"/>
        </w:rPr>
        <w:t xml:space="preserve">(2009) </w:t>
      </w:r>
      <w:r w:rsidR="005E58C6" w:rsidRPr="005E58C6">
        <w:rPr>
          <w:rFonts w:ascii="Times New Roman" w:eastAsia="Times New Roman" w:hAnsi="Times New Roman" w:cs="Times New Roman"/>
          <w:sz w:val="24"/>
          <w:szCs w:val="24"/>
          <w:lang w:val="en-US"/>
        </w:rPr>
        <w:t xml:space="preserve"> “Increase of theta/Gamma and Alpha3/Alpha2 ratio is associated with </w:t>
      </w:r>
      <w:proofErr w:type="spellStart"/>
      <w:r w:rsidR="005E58C6" w:rsidRPr="005E58C6">
        <w:rPr>
          <w:rFonts w:ascii="Times New Roman" w:eastAsia="Times New Roman" w:hAnsi="Times New Roman" w:cs="Times New Roman"/>
          <w:sz w:val="24"/>
          <w:szCs w:val="24"/>
          <w:lang w:val="en-US"/>
        </w:rPr>
        <w:t>amygdalo</w:t>
      </w:r>
      <w:proofErr w:type="spellEnd"/>
      <w:r w:rsidR="005E58C6" w:rsidRPr="005E58C6">
        <w:rPr>
          <w:rFonts w:ascii="Times New Roman" w:eastAsia="Times New Roman" w:hAnsi="Times New Roman" w:cs="Times New Roman"/>
          <w:sz w:val="24"/>
          <w:szCs w:val="24"/>
          <w:lang w:val="en-US"/>
        </w:rPr>
        <w:t>-hippocampal complex atrophy,” Journal of Alzheimer's Disease, vol. 17, no. 2, pp. 349–357, 2009.</w:t>
      </w:r>
      <w:r w:rsidR="005E58C6" w:rsidRPr="005E58C6">
        <w:rPr>
          <w:rFonts w:ascii="Times New Roman" w:eastAsia="Times New Roman" w:hAnsi="Times New Roman" w:cs="Times New Roman"/>
          <w:sz w:val="24"/>
          <w:szCs w:val="24"/>
          <w:bdr w:val="none" w:sz="0" w:space="0" w:color="auto" w:frame="1"/>
          <w:lang w:val="en-US"/>
        </w:rPr>
        <w:t> </w:t>
      </w:r>
      <w:hyperlink r:id="rId15" w:tgtFrame="blank" w:history="1">
        <w:r w:rsidR="005E58C6" w:rsidRPr="005E58C6">
          <w:rPr>
            <w:rFonts w:ascii="Times New Roman" w:eastAsia="Times New Roman" w:hAnsi="Times New Roman" w:cs="Times New Roman"/>
            <w:sz w:val="24"/>
            <w:szCs w:val="24"/>
            <w:bdr w:val="none" w:sz="0" w:space="0" w:color="auto" w:frame="1"/>
            <w:lang w:val="en-US"/>
          </w:rPr>
          <w:t>View at Publisher</w:t>
        </w:r>
      </w:hyperlink>
      <w:r w:rsidR="005E58C6" w:rsidRPr="005E58C6">
        <w:rPr>
          <w:rFonts w:ascii="Times New Roman" w:eastAsia="Times New Roman" w:hAnsi="Times New Roman" w:cs="Times New Roman"/>
          <w:sz w:val="24"/>
          <w:szCs w:val="24"/>
          <w:bdr w:val="none" w:sz="0" w:space="0" w:color="auto" w:frame="1"/>
          <w:lang w:val="en-US"/>
        </w:rPr>
        <w:t> · </w:t>
      </w:r>
      <w:r w:rsidR="005F7F7C" w:rsidRPr="0081736A">
        <w:rPr>
          <w:rFonts w:ascii="Times New Roman" w:eastAsia="Times New Roman" w:hAnsi="Times New Roman" w:cs="Times New Roman"/>
          <w:sz w:val="24"/>
          <w:szCs w:val="24"/>
          <w:lang w:val="en-US"/>
        </w:rPr>
        <w:t xml:space="preserve"> </w:t>
      </w:r>
    </w:p>
    <w:p w:rsidR="005E58C6" w:rsidRPr="0081736A" w:rsidRDefault="005E58C6" w:rsidP="005E58C6">
      <w:pPr>
        <w:pStyle w:val="ListParagraph"/>
        <w:rPr>
          <w:rFonts w:ascii="Times New Roman" w:eastAsia="Times New Roman" w:hAnsi="Times New Roman" w:cs="Times New Roman"/>
          <w:sz w:val="24"/>
          <w:szCs w:val="24"/>
          <w:lang w:val="en-US"/>
        </w:rPr>
      </w:pPr>
    </w:p>
    <w:p w:rsidR="00511ABD" w:rsidRDefault="0073440D" w:rsidP="00511AB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lang w:val="en-US"/>
        </w:rPr>
        <w:t xml:space="preserve">[7] </w:t>
      </w:r>
      <w:proofErr w:type="spellStart"/>
      <w:r w:rsidR="00511ABD" w:rsidRPr="00511ABD">
        <w:rPr>
          <w:rFonts w:ascii="Times New Roman" w:eastAsia="Times New Roman" w:hAnsi="Times New Roman" w:cs="Times New Roman"/>
          <w:sz w:val="24"/>
          <w:szCs w:val="24"/>
          <w:lang w:val="en-US"/>
        </w:rPr>
        <w:t>Moretti</w:t>
      </w:r>
      <w:proofErr w:type="spellEnd"/>
      <w:r w:rsidR="00511ABD" w:rsidRPr="00511ABD">
        <w:rPr>
          <w:rFonts w:ascii="Times New Roman" w:eastAsia="Times New Roman" w:hAnsi="Times New Roman" w:cs="Times New Roman"/>
          <w:sz w:val="24"/>
          <w:szCs w:val="24"/>
          <w:lang w:val="en-US"/>
        </w:rPr>
        <w:t>, D.V</w:t>
      </w:r>
      <w:proofErr w:type="gramStart"/>
      <w:r w:rsidR="00511ABD" w:rsidRPr="00511ABD">
        <w:rPr>
          <w:rFonts w:ascii="Times New Roman" w:eastAsia="Times New Roman" w:hAnsi="Times New Roman" w:cs="Times New Roman"/>
          <w:sz w:val="24"/>
          <w:szCs w:val="24"/>
          <w:lang w:val="en-US"/>
        </w:rPr>
        <w:t xml:space="preserve">,  </w:t>
      </w:r>
      <w:proofErr w:type="spellStart"/>
      <w:r w:rsidR="00511ABD" w:rsidRPr="00511ABD">
        <w:rPr>
          <w:rFonts w:ascii="Times New Roman" w:eastAsia="Times New Roman" w:hAnsi="Times New Roman" w:cs="Times New Roman"/>
          <w:sz w:val="24"/>
          <w:szCs w:val="24"/>
          <w:lang w:val="en-US"/>
        </w:rPr>
        <w:t>Miniussi,C</w:t>
      </w:r>
      <w:proofErr w:type="spellEnd"/>
      <w:proofErr w:type="gramEnd"/>
      <w:r w:rsidR="00511ABD" w:rsidRPr="00511ABD">
        <w:rPr>
          <w:rFonts w:ascii="Times New Roman" w:eastAsia="Times New Roman" w:hAnsi="Times New Roman" w:cs="Times New Roman"/>
          <w:sz w:val="24"/>
          <w:szCs w:val="24"/>
          <w:lang w:val="en-US"/>
        </w:rPr>
        <w:t xml:space="preserve">,. </w:t>
      </w:r>
      <w:proofErr w:type="spellStart"/>
      <w:r w:rsidR="00511ABD" w:rsidRPr="00511ABD">
        <w:rPr>
          <w:rFonts w:ascii="Times New Roman" w:eastAsia="Times New Roman" w:hAnsi="Times New Roman" w:cs="Times New Roman"/>
          <w:sz w:val="24"/>
          <w:szCs w:val="24"/>
          <w:lang w:val="en-US"/>
        </w:rPr>
        <w:t>Frisoni</w:t>
      </w:r>
      <w:proofErr w:type="spellEnd"/>
      <w:r w:rsidR="00511ABD" w:rsidRPr="00511ABD">
        <w:rPr>
          <w:rFonts w:ascii="Times New Roman" w:eastAsia="Times New Roman" w:hAnsi="Times New Roman" w:cs="Times New Roman"/>
          <w:sz w:val="24"/>
          <w:szCs w:val="24"/>
          <w:lang w:val="en-US"/>
        </w:rPr>
        <w:t xml:space="preserve"> G. </w:t>
      </w:r>
      <w:proofErr w:type="gramStart"/>
      <w:r w:rsidR="00511ABD" w:rsidRPr="00511ABD">
        <w:rPr>
          <w:rFonts w:ascii="Times New Roman" w:eastAsia="Times New Roman" w:hAnsi="Times New Roman" w:cs="Times New Roman"/>
          <w:sz w:val="24"/>
          <w:szCs w:val="24"/>
          <w:lang w:val="en-US"/>
        </w:rPr>
        <w:t>B  (</w:t>
      </w:r>
      <w:proofErr w:type="gramEnd"/>
      <w:r w:rsidR="00511ABD" w:rsidRPr="00511ABD">
        <w:rPr>
          <w:rFonts w:ascii="Times New Roman" w:eastAsia="Times New Roman" w:hAnsi="Times New Roman" w:cs="Times New Roman"/>
          <w:sz w:val="24"/>
          <w:szCs w:val="24"/>
          <w:lang w:val="en-US"/>
        </w:rPr>
        <w:t xml:space="preserve">2007)  </w:t>
      </w:r>
      <w:r w:rsidR="005E58C6" w:rsidRPr="00511ABD">
        <w:rPr>
          <w:rFonts w:ascii="Times New Roman" w:eastAsia="Times New Roman" w:hAnsi="Times New Roman" w:cs="Times New Roman"/>
          <w:sz w:val="24"/>
          <w:szCs w:val="24"/>
          <w:lang w:val="en-US"/>
        </w:rPr>
        <w:t xml:space="preserve"> “Vascular damage and EEG markers in subjects with mild </w:t>
      </w:r>
      <w:proofErr w:type="spellStart"/>
      <w:r w:rsidR="005E58C6" w:rsidRPr="00511ABD">
        <w:rPr>
          <w:rFonts w:ascii="Times New Roman" w:eastAsia="Times New Roman" w:hAnsi="Times New Roman" w:cs="Times New Roman"/>
          <w:sz w:val="24"/>
          <w:szCs w:val="24"/>
          <w:lang w:val="en-US"/>
        </w:rPr>
        <w:t>cogni</w:t>
      </w:r>
      <w:r w:rsidR="00511ABD" w:rsidRPr="00511ABD">
        <w:rPr>
          <w:rFonts w:ascii="Times New Roman" w:eastAsia="Times New Roman" w:hAnsi="Times New Roman" w:cs="Times New Roman"/>
          <w:sz w:val="24"/>
          <w:szCs w:val="24"/>
          <w:lang w:val="en-US"/>
        </w:rPr>
        <w:t>t</w:t>
      </w:r>
      <w:r w:rsidR="005E58C6" w:rsidRPr="00511ABD">
        <w:rPr>
          <w:rFonts w:ascii="Times New Roman" w:eastAsia="Times New Roman" w:hAnsi="Times New Roman" w:cs="Times New Roman"/>
          <w:sz w:val="24"/>
          <w:szCs w:val="24"/>
          <w:lang w:val="en-US"/>
        </w:rPr>
        <w:t>ve</w:t>
      </w:r>
      <w:proofErr w:type="spellEnd"/>
      <w:r w:rsidR="005E58C6" w:rsidRPr="00511ABD">
        <w:rPr>
          <w:rFonts w:ascii="Times New Roman" w:eastAsia="Times New Roman" w:hAnsi="Times New Roman" w:cs="Times New Roman"/>
          <w:sz w:val="24"/>
          <w:szCs w:val="24"/>
          <w:lang w:val="en-US"/>
        </w:rPr>
        <w:t xml:space="preserve"> impairment,” Clinical Neurophysiology, vol. 118, no. 8, pp. 1866–1876, 2007.</w:t>
      </w:r>
      <w:r w:rsidR="005E58C6" w:rsidRPr="00511ABD">
        <w:rPr>
          <w:rFonts w:ascii="Times New Roman" w:eastAsia="Times New Roman" w:hAnsi="Times New Roman" w:cs="Times New Roman"/>
          <w:sz w:val="24"/>
          <w:szCs w:val="24"/>
          <w:bdr w:val="none" w:sz="0" w:space="0" w:color="auto" w:frame="1"/>
          <w:lang w:val="en-US"/>
        </w:rPr>
        <w:t> </w:t>
      </w:r>
    </w:p>
    <w:p w:rsidR="00511ABD" w:rsidRDefault="00511ABD" w:rsidP="00511AB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en-US"/>
        </w:rPr>
      </w:pPr>
    </w:p>
    <w:p w:rsidR="00FF1338" w:rsidRPr="00FF1338" w:rsidRDefault="0073440D" w:rsidP="00FF1338">
      <w:pPr>
        <w:shd w:val="clear" w:color="auto" w:fill="FFFFFF"/>
        <w:spacing w:before="180" w:after="180" w:line="300"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bdr w:val="none" w:sz="0" w:space="0" w:color="auto" w:frame="1"/>
          <w:lang w:val="en-US"/>
        </w:rPr>
        <w:t xml:space="preserve">[8] </w:t>
      </w:r>
      <w:proofErr w:type="spellStart"/>
      <w:r w:rsidR="00FF1338" w:rsidRPr="00FF1338">
        <w:rPr>
          <w:rFonts w:ascii="Times New Roman" w:eastAsia="Times New Roman" w:hAnsi="Times New Roman" w:cs="Times New Roman"/>
          <w:sz w:val="24"/>
          <w:szCs w:val="24"/>
          <w:bdr w:val="none" w:sz="0" w:space="0" w:color="auto" w:frame="1"/>
          <w:lang w:val="en-US"/>
        </w:rPr>
        <w:t>Moretti</w:t>
      </w:r>
      <w:proofErr w:type="spellEnd"/>
      <w:r w:rsidR="00FF1338" w:rsidRPr="00FF1338">
        <w:rPr>
          <w:rFonts w:ascii="Times New Roman" w:eastAsia="Times New Roman" w:hAnsi="Times New Roman" w:cs="Times New Roman"/>
          <w:sz w:val="24"/>
          <w:szCs w:val="24"/>
          <w:bdr w:val="none" w:sz="0" w:space="0" w:color="auto" w:frame="1"/>
          <w:lang w:val="en-US"/>
        </w:rPr>
        <w:t xml:space="preserve">, D.V., </w:t>
      </w:r>
      <w:proofErr w:type="spellStart"/>
      <w:r w:rsidR="00FF1338" w:rsidRPr="00FF1338">
        <w:rPr>
          <w:rFonts w:ascii="Times New Roman" w:eastAsia="Times New Roman" w:hAnsi="Times New Roman" w:cs="Times New Roman"/>
          <w:sz w:val="24"/>
          <w:szCs w:val="24"/>
          <w:bdr w:val="none" w:sz="0" w:space="0" w:color="auto" w:frame="1"/>
          <w:lang w:val="en-US"/>
        </w:rPr>
        <w:t>Zanetti</w:t>
      </w:r>
      <w:proofErr w:type="spellEnd"/>
      <w:r w:rsidR="00FF1338" w:rsidRPr="00FF1338">
        <w:rPr>
          <w:rFonts w:ascii="Times New Roman" w:eastAsia="Times New Roman" w:hAnsi="Times New Roman" w:cs="Times New Roman"/>
          <w:sz w:val="24"/>
          <w:szCs w:val="24"/>
          <w:bdr w:val="none" w:sz="0" w:space="0" w:color="auto" w:frame="1"/>
          <w:lang w:val="en-US"/>
        </w:rPr>
        <w:t xml:space="preserve">, O., </w:t>
      </w:r>
      <w:proofErr w:type="spellStart"/>
      <w:r w:rsidR="00FF1338" w:rsidRPr="00FF1338">
        <w:rPr>
          <w:rFonts w:ascii="Times New Roman" w:eastAsia="Times New Roman" w:hAnsi="Times New Roman" w:cs="Times New Roman"/>
          <w:sz w:val="24"/>
          <w:szCs w:val="24"/>
          <w:bdr w:val="none" w:sz="0" w:space="0" w:color="auto" w:frame="1"/>
          <w:lang w:val="en-US"/>
        </w:rPr>
        <w:t>Binetti</w:t>
      </w:r>
      <w:proofErr w:type="gramStart"/>
      <w:r w:rsidR="00FF1338" w:rsidRPr="00FF1338">
        <w:rPr>
          <w:rFonts w:ascii="Times New Roman" w:eastAsia="Times New Roman" w:hAnsi="Times New Roman" w:cs="Times New Roman"/>
          <w:sz w:val="24"/>
          <w:szCs w:val="24"/>
          <w:bdr w:val="none" w:sz="0" w:space="0" w:color="auto" w:frame="1"/>
          <w:lang w:val="en-US"/>
        </w:rPr>
        <w:t>,G</w:t>
      </w:r>
      <w:proofErr w:type="spellEnd"/>
      <w:proofErr w:type="gramEnd"/>
      <w:r w:rsidR="00FF1338" w:rsidRPr="00FF1338">
        <w:rPr>
          <w:rFonts w:ascii="Times New Roman" w:eastAsia="Times New Roman" w:hAnsi="Times New Roman" w:cs="Times New Roman"/>
          <w:sz w:val="24"/>
          <w:szCs w:val="24"/>
          <w:bdr w:val="none" w:sz="0" w:space="0" w:color="auto" w:frame="1"/>
          <w:lang w:val="en-US"/>
        </w:rPr>
        <w:t xml:space="preserve"> &amp; </w:t>
      </w:r>
      <w:proofErr w:type="spellStart"/>
      <w:r w:rsidR="00FF1338" w:rsidRPr="00FF1338">
        <w:rPr>
          <w:rFonts w:ascii="Times New Roman" w:eastAsia="Times New Roman" w:hAnsi="Times New Roman" w:cs="Times New Roman"/>
          <w:sz w:val="24"/>
          <w:szCs w:val="24"/>
          <w:bdr w:val="none" w:sz="0" w:space="0" w:color="auto" w:frame="1"/>
          <w:lang w:val="en-US"/>
        </w:rPr>
        <w:t>Frisoni</w:t>
      </w:r>
      <w:proofErr w:type="spellEnd"/>
      <w:r w:rsidR="00FF1338" w:rsidRPr="00FF1338">
        <w:rPr>
          <w:rFonts w:ascii="Times New Roman" w:eastAsia="Times New Roman" w:hAnsi="Times New Roman" w:cs="Times New Roman"/>
          <w:sz w:val="24"/>
          <w:szCs w:val="24"/>
          <w:bdr w:val="none" w:sz="0" w:space="0" w:color="auto" w:frame="1"/>
          <w:lang w:val="en-US"/>
        </w:rPr>
        <w:t>, G.B  (2012)</w:t>
      </w:r>
      <w:r w:rsidR="00511ABD" w:rsidRPr="00FF1338">
        <w:rPr>
          <w:rFonts w:ascii="Times New Roman" w:eastAsia="Times New Roman" w:hAnsi="Times New Roman" w:cs="Times New Roman"/>
          <w:sz w:val="24"/>
          <w:szCs w:val="24"/>
          <w:bdr w:val="none" w:sz="0" w:space="0" w:color="auto" w:frame="1"/>
          <w:lang w:val="en-US"/>
        </w:rPr>
        <w:t xml:space="preserve"> </w:t>
      </w:r>
      <w:r w:rsidR="00FF1338" w:rsidRPr="00FF1338">
        <w:rPr>
          <w:rFonts w:ascii="Times New Roman" w:eastAsia="Times New Roman" w:hAnsi="Times New Roman" w:cs="Times New Roman"/>
          <w:sz w:val="24"/>
          <w:szCs w:val="24"/>
          <w:bdr w:val="none" w:sz="0" w:space="0" w:color="auto" w:frame="1"/>
          <w:lang w:val="en-US"/>
        </w:rPr>
        <w:t>Quantitative EEG Markers in Mild Cognitive Impairment: Degenerative versus Vascular Brain Impairment.</w:t>
      </w:r>
      <w:r w:rsidR="00FF1338" w:rsidRPr="00FF1338">
        <w:rPr>
          <w:rFonts w:ascii="Times New Roman" w:eastAsia="Times New Roman" w:hAnsi="Times New Roman" w:cs="Times New Roman"/>
          <w:color w:val="000000"/>
          <w:sz w:val="24"/>
          <w:szCs w:val="24"/>
          <w:lang w:val="en-US"/>
        </w:rPr>
        <w:t xml:space="preserve"> </w:t>
      </w:r>
      <w:proofErr w:type="gramStart"/>
      <w:r w:rsidR="00FF1338" w:rsidRPr="00FF1338">
        <w:rPr>
          <w:rFonts w:ascii="Times New Roman" w:eastAsia="Times New Roman" w:hAnsi="Times New Roman" w:cs="Times New Roman"/>
          <w:color w:val="000000"/>
          <w:sz w:val="24"/>
          <w:szCs w:val="24"/>
          <w:lang w:val="en-US"/>
        </w:rPr>
        <w:t xml:space="preserve">Centro San Giovanni di </w:t>
      </w:r>
      <w:proofErr w:type="spellStart"/>
      <w:r w:rsidR="00FF1338" w:rsidRPr="00FF1338">
        <w:rPr>
          <w:rFonts w:ascii="Times New Roman" w:eastAsia="Times New Roman" w:hAnsi="Times New Roman" w:cs="Times New Roman"/>
          <w:color w:val="000000"/>
          <w:sz w:val="24"/>
          <w:szCs w:val="24"/>
          <w:lang w:val="en-US"/>
        </w:rPr>
        <w:t>Dio</w:t>
      </w:r>
      <w:proofErr w:type="spellEnd"/>
      <w:r w:rsidR="00FF1338" w:rsidRPr="00FF1338">
        <w:rPr>
          <w:rFonts w:ascii="Times New Roman" w:eastAsia="Times New Roman" w:hAnsi="Times New Roman" w:cs="Times New Roman"/>
          <w:color w:val="000000"/>
          <w:sz w:val="24"/>
          <w:szCs w:val="24"/>
          <w:lang w:val="en-US"/>
        </w:rPr>
        <w:t xml:space="preserve"> </w:t>
      </w:r>
      <w:proofErr w:type="spellStart"/>
      <w:r w:rsidR="00FF1338" w:rsidRPr="00FF1338">
        <w:rPr>
          <w:rFonts w:ascii="Times New Roman" w:eastAsia="Times New Roman" w:hAnsi="Times New Roman" w:cs="Times New Roman"/>
          <w:color w:val="000000"/>
          <w:sz w:val="24"/>
          <w:szCs w:val="24"/>
          <w:lang w:val="en-US"/>
        </w:rPr>
        <w:t>Fatebenefratelli</w:t>
      </w:r>
      <w:proofErr w:type="spellEnd"/>
      <w:r w:rsidR="00FF1338" w:rsidRPr="00FF1338">
        <w:rPr>
          <w:rFonts w:ascii="Times New Roman" w:eastAsia="Times New Roman" w:hAnsi="Times New Roman" w:cs="Times New Roman"/>
          <w:color w:val="000000"/>
          <w:sz w:val="24"/>
          <w:szCs w:val="24"/>
          <w:lang w:val="en-US"/>
        </w:rPr>
        <w:t xml:space="preserve">, </w:t>
      </w:r>
      <w:proofErr w:type="spellStart"/>
      <w:r w:rsidR="00FF1338" w:rsidRPr="00FF1338">
        <w:rPr>
          <w:rFonts w:ascii="Times New Roman" w:eastAsia="Times New Roman" w:hAnsi="Times New Roman" w:cs="Times New Roman"/>
          <w:color w:val="000000"/>
          <w:sz w:val="24"/>
          <w:szCs w:val="24"/>
          <w:lang w:val="en-US"/>
        </w:rPr>
        <w:t>TRccs</w:t>
      </w:r>
      <w:proofErr w:type="spellEnd"/>
      <w:r w:rsidR="00FF1338" w:rsidRPr="00FF1338">
        <w:rPr>
          <w:rFonts w:ascii="Times New Roman" w:eastAsia="Times New Roman" w:hAnsi="Times New Roman" w:cs="Times New Roman"/>
          <w:color w:val="000000"/>
          <w:sz w:val="24"/>
          <w:szCs w:val="24"/>
          <w:lang w:val="en-US"/>
        </w:rPr>
        <w:t>, 25125 Brescia, Italy.</w:t>
      </w:r>
      <w:proofErr w:type="gramEnd"/>
      <w:r w:rsidR="00FF1338" w:rsidRPr="00FF1338">
        <w:rPr>
          <w:rFonts w:ascii="Times New Roman" w:eastAsia="Times New Roman" w:hAnsi="Times New Roman" w:cs="Times New Roman"/>
          <w:color w:val="000000"/>
          <w:sz w:val="24"/>
          <w:szCs w:val="24"/>
          <w:lang w:val="en-US"/>
        </w:rPr>
        <w:t xml:space="preserve"> Open access article distributed under the </w:t>
      </w:r>
      <w:hyperlink r:id="rId16" w:history="1">
        <w:r w:rsidR="00FF1338" w:rsidRPr="00FF1338">
          <w:rPr>
            <w:rFonts w:ascii="Times New Roman" w:eastAsia="Times New Roman" w:hAnsi="Times New Roman" w:cs="Times New Roman"/>
            <w:color w:val="418B34"/>
            <w:sz w:val="24"/>
            <w:szCs w:val="24"/>
            <w:u w:val="single"/>
            <w:bdr w:val="none" w:sz="0" w:space="0" w:color="auto" w:frame="1"/>
            <w:lang w:val="en-US"/>
          </w:rPr>
          <w:t>Creative Commons Attribution License</w:t>
        </w:r>
      </w:hyperlink>
      <w:r w:rsidR="00FF1338" w:rsidRPr="00FF1338">
        <w:rPr>
          <w:rFonts w:ascii="Times New Roman" w:eastAsia="Times New Roman" w:hAnsi="Times New Roman" w:cs="Times New Roman"/>
          <w:color w:val="000000"/>
          <w:sz w:val="24"/>
          <w:szCs w:val="24"/>
          <w:lang w:val="en-US"/>
        </w:rPr>
        <w:t>,</w:t>
      </w:r>
    </w:p>
    <w:p w:rsidR="0073440D" w:rsidRDefault="0073440D" w:rsidP="0073440D">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73440D" w:rsidRPr="00FF1338" w:rsidRDefault="0073440D" w:rsidP="0073440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[9] </w:t>
      </w:r>
      <w:r w:rsidRPr="00FF1338">
        <w:rPr>
          <w:rFonts w:ascii="Times New Roman" w:hAnsi="Times New Roman" w:cs="Times New Roman"/>
          <w:sz w:val="24"/>
          <w:szCs w:val="24"/>
          <w:lang w:val="en-US"/>
        </w:rPr>
        <w:t xml:space="preserve">Petersen, R.C., </w:t>
      </w:r>
      <w:proofErr w:type="spellStart"/>
      <w:r w:rsidRPr="00FF1338">
        <w:rPr>
          <w:rFonts w:ascii="Times New Roman" w:hAnsi="Times New Roman" w:cs="Times New Roman"/>
          <w:sz w:val="24"/>
          <w:szCs w:val="24"/>
          <w:lang w:val="en-US"/>
        </w:rPr>
        <w:t>Doody</w:t>
      </w:r>
      <w:proofErr w:type="spellEnd"/>
      <w:r w:rsidRPr="00FF1338">
        <w:rPr>
          <w:rFonts w:ascii="Times New Roman" w:hAnsi="Times New Roman" w:cs="Times New Roman"/>
          <w:sz w:val="24"/>
          <w:szCs w:val="24"/>
          <w:lang w:val="en-US"/>
        </w:rPr>
        <w:t xml:space="preserve">, R., </w:t>
      </w:r>
      <w:proofErr w:type="spellStart"/>
      <w:r w:rsidRPr="00FF1338">
        <w:rPr>
          <w:rFonts w:ascii="Times New Roman" w:hAnsi="Times New Roman" w:cs="Times New Roman"/>
          <w:sz w:val="24"/>
          <w:szCs w:val="24"/>
          <w:lang w:val="en-US"/>
        </w:rPr>
        <w:t>Kurz</w:t>
      </w:r>
      <w:proofErr w:type="spellEnd"/>
      <w:r w:rsidRPr="00FF1338">
        <w:rPr>
          <w:rFonts w:ascii="Times New Roman" w:hAnsi="Times New Roman" w:cs="Times New Roman"/>
          <w:sz w:val="24"/>
          <w:szCs w:val="24"/>
          <w:lang w:val="en-US"/>
        </w:rPr>
        <w:t xml:space="preserve">, A., et al. (2001). </w:t>
      </w:r>
      <w:proofErr w:type="gramStart"/>
      <w:r w:rsidRPr="00FF1338">
        <w:rPr>
          <w:rFonts w:ascii="Times New Roman" w:hAnsi="Times New Roman" w:cs="Times New Roman"/>
          <w:sz w:val="24"/>
          <w:szCs w:val="24"/>
          <w:lang w:val="en-US"/>
        </w:rPr>
        <w:t>Current concepts in mild cognitive impairment.</w:t>
      </w:r>
      <w:proofErr w:type="gramEnd"/>
      <w:r w:rsidRPr="00FF1338">
        <w:rPr>
          <w:rFonts w:ascii="Times New Roman" w:hAnsi="Times New Roman" w:cs="Times New Roman"/>
          <w:sz w:val="24"/>
          <w:szCs w:val="24"/>
          <w:lang w:val="en-US"/>
        </w:rPr>
        <w:t xml:space="preserve"> </w:t>
      </w:r>
      <w:proofErr w:type="gramStart"/>
      <w:r w:rsidRPr="00FF1338">
        <w:rPr>
          <w:rFonts w:ascii="Times New Roman" w:hAnsi="Times New Roman" w:cs="Times New Roman"/>
          <w:sz w:val="24"/>
          <w:szCs w:val="24"/>
          <w:lang w:val="en-US"/>
        </w:rPr>
        <w:t>Archives of Neurology.</w:t>
      </w:r>
      <w:proofErr w:type="gramEnd"/>
      <w:r w:rsidRPr="00FF1338">
        <w:rPr>
          <w:rFonts w:ascii="Times New Roman" w:hAnsi="Times New Roman" w:cs="Times New Roman"/>
          <w:sz w:val="24"/>
          <w:szCs w:val="24"/>
          <w:lang w:val="en-US"/>
        </w:rPr>
        <w:t xml:space="preserve"> 58(12):1985–1992.</w:t>
      </w:r>
    </w:p>
    <w:p w:rsidR="00FF1338" w:rsidRPr="00FF1338" w:rsidRDefault="00FF1338" w:rsidP="00FF1338">
      <w:pPr>
        <w:jc w:val="both"/>
        <w:rPr>
          <w:rFonts w:ascii="Times New Roman" w:eastAsia="Times New Roman" w:hAnsi="Times New Roman" w:cs="Times New Roman"/>
          <w:sz w:val="24"/>
          <w:szCs w:val="24"/>
          <w:bdr w:val="none" w:sz="0" w:space="0" w:color="auto" w:frame="1"/>
          <w:lang w:val="en-US"/>
        </w:rPr>
      </w:pPr>
    </w:p>
    <w:p w:rsidR="00511ABD" w:rsidRPr="00FF1338" w:rsidRDefault="0073440D" w:rsidP="00FF1338">
      <w:pPr>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rPr>
        <w:t xml:space="preserve">[10] </w:t>
      </w:r>
      <w:r w:rsidR="00FF1338" w:rsidRPr="00FF1338">
        <w:rPr>
          <w:rFonts w:ascii="Times New Roman" w:eastAsia="Times New Roman" w:hAnsi="Times New Roman" w:cs="Times New Roman"/>
          <w:sz w:val="24"/>
          <w:szCs w:val="24"/>
          <w:bdr w:val="none" w:sz="0" w:space="0" w:color="auto" w:frame="1"/>
          <w:lang w:val="en-US"/>
        </w:rPr>
        <w:t>Y</w:t>
      </w:r>
      <w:r w:rsidR="00FF1338" w:rsidRPr="00FF1338">
        <w:rPr>
          <w:rFonts w:ascii="Times New Roman" w:hAnsi="Times New Roman" w:cs="Times New Roman"/>
          <w:sz w:val="24"/>
          <w:szCs w:val="24"/>
        </w:rPr>
        <w:t xml:space="preserve">amada M, Kimura M, Mori T, Endo S., </w:t>
      </w:r>
      <w:r w:rsidR="00511ABD" w:rsidRPr="00FF1338">
        <w:rPr>
          <w:rFonts w:ascii="Times New Roman" w:eastAsia="Times New Roman" w:hAnsi="Times New Roman" w:cs="Times New Roman"/>
          <w:sz w:val="24"/>
          <w:szCs w:val="24"/>
          <w:bdr w:val="none" w:sz="0" w:space="0" w:color="auto" w:frame="1"/>
          <w:lang w:val="en-US"/>
        </w:rPr>
        <w:t xml:space="preserve">(1995).  </w:t>
      </w:r>
      <w:proofErr w:type="gramStart"/>
      <w:r w:rsidR="00511ABD" w:rsidRPr="00FF1338">
        <w:rPr>
          <w:rFonts w:ascii="Times New Roman" w:eastAsia="Times New Roman" w:hAnsi="Times New Roman" w:cs="Times New Roman"/>
          <w:sz w:val="24"/>
          <w:szCs w:val="24"/>
          <w:bdr w:val="none" w:sz="0" w:space="0" w:color="auto" w:frame="1"/>
          <w:lang w:val="en-US"/>
        </w:rPr>
        <w:t xml:space="preserve">EEG </w:t>
      </w:r>
      <w:r w:rsidR="00FF1338" w:rsidRPr="00FF1338">
        <w:rPr>
          <w:rFonts w:ascii="Times New Roman" w:eastAsia="Times New Roman" w:hAnsi="Times New Roman" w:cs="Times New Roman"/>
          <w:sz w:val="24"/>
          <w:szCs w:val="24"/>
          <w:bdr w:val="none" w:sz="0" w:space="0" w:color="auto" w:frame="1"/>
          <w:lang w:val="en-US"/>
        </w:rPr>
        <w:t xml:space="preserve">power and coherence in </w:t>
      </w:r>
      <w:proofErr w:type="spellStart"/>
      <w:r w:rsidR="00FF1338" w:rsidRPr="00FF1338">
        <w:rPr>
          <w:rFonts w:ascii="Times New Roman" w:eastAsia="Times New Roman" w:hAnsi="Times New Roman" w:cs="Times New Roman"/>
          <w:sz w:val="24"/>
          <w:szCs w:val="24"/>
          <w:bdr w:val="none" w:sz="0" w:space="0" w:color="auto" w:frame="1"/>
          <w:lang w:val="en-US"/>
        </w:rPr>
        <w:t>presenile</w:t>
      </w:r>
      <w:proofErr w:type="spellEnd"/>
      <w:r w:rsidR="00511ABD" w:rsidRPr="00FF1338">
        <w:rPr>
          <w:rFonts w:ascii="Times New Roman" w:eastAsia="Times New Roman" w:hAnsi="Times New Roman" w:cs="Times New Roman"/>
          <w:sz w:val="24"/>
          <w:szCs w:val="24"/>
          <w:bdr w:val="none" w:sz="0" w:space="0" w:color="auto" w:frame="1"/>
          <w:lang w:val="en-US"/>
        </w:rPr>
        <w:t xml:space="preserve"> and senile depression.</w:t>
      </w:r>
      <w:proofErr w:type="gramEnd"/>
      <w:r w:rsidR="00511ABD" w:rsidRPr="00FF1338">
        <w:rPr>
          <w:rFonts w:ascii="Times New Roman" w:eastAsia="Times New Roman" w:hAnsi="Times New Roman" w:cs="Times New Roman"/>
          <w:sz w:val="24"/>
          <w:szCs w:val="24"/>
          <w:bdr w:val="none" w:sz="0" w:space="0" w:color="auto" w:frame="1"/>
          <w:lang w:val="en-US"/>
        </w:rPr>
        <w:t xml:space="preserve">  Characteristic findings related to differences between anxiety type and retardation type.</w:t>
      </w:r>
      <w:r w:rsidR="00511ABD" w:rsidRPr="00FF1338">
        <w:rPr>
          <w:rFonts w:ascii="Times New Roman" w:eastAsia="Times New Roman" w:hAnsi="Times New Roman" w:cs="Times New Roman"/>
          <w:color w:val="000000"/>
          <w:sz w:val="24"/>
          <w:szCs w:val="24"/>
        </w:rPr>
        <w:t xml:space="preserve"> </w:t>
      </w:r>
      <w:r w:rsidR="00FF1338" w:rsidRPr="00FF1338">
        <w:rPr>
          <w:rFonts w:ascii="Times New Roman" w:eastAsia="Times New Roman" w:hAnsi="Times New Roman" w:cs="Times New Roman"/>
          <w:sz w:val="24"/>
          <w:szCs w:val="24"/>
          <w:bdr w:val="none" w:sz="0" w:space="0" w:color="auto" w:frame="1"/>
          <w:lang w:val="en-US"/>
        </w:rPr>
        <w:t xml:space="preserve">Nihon </w:t>
      </w:r>
      <w:proofErr w:type="spellStart"/>
      <w:r w:rsidR="00FF1338" w:rsidRPr="00FF1338">
        <w:rPr>
          <w:rFonts w:ascii="Times New Roman" w:eastAsia="Times New Roman" w:hAnsi="Times New Roman" w:cs="Times New Roman"/>
          <w:sz w:val="24"/>
          <w:szCs w:val="24"/>
          <w:bdr w:val="none" w:sz="0" w:space="0" w:color="auto" w:frame="1"/>
          <w:lang w:val="en-US"/>
        </w:rPr>
        <w:t>Ika</w:t>
      </w:r>
      <w:proofErr w:type="spellEnd"/>
      <w:r w:rsidR="00FF1338" w:rsidRPr="00FF1338">
        <w:rPr>
          <w:rFonts w:ascii="Times New Roman" w:eastAsia="Times New Roman" w:hAnsi="Times New Roman" w:cs="Times New Roman"/>
          <w:sz w:val="24"/>
          <w:szCs w:val="24"/>
          <w:bdr w:val="none" w:sz="0" w:space="0" w:color="auto" w:frame="1"/>
          <w:lang w:val="en-US"/>
        </w:rPr>
        <w:t xml:space="preserve"> </w:t>
      </w:r>
      <w:proofErr w:type="spellStart"/>
      <w:r w:rsidR="00FF1338" w:rsidRPr="00FF1338">
        <w:rPr>
          <w:rFonts w:ascii="Times New Roman" w:eastAsia="Times New Roman" w:hAnsi="Times New Roman" w:cs="Times New Roman"/>
          <w:sz w:val="24"/>
          <w:szCs w:val="24"/>
          <w:bdr w:val="none" w:sz="0" w:space="0" w:color="auto" w:frame="1"/>
          <w:lang w:val="en-US"/>
        </w:rPr>
        <w:t>Daiqaku</w:t>
      </w:r>
      <w:proofErr w:type="spellEnd"/>
      <w:r w:rsidR="00FF1338" w:rsidRPr="00FF1338">
        <w:rPr>
          <w:rFonts w:ascii="Times New Roman" w:eastAsia="Times New Roman" w:hAnsi="Times New Roman" w:cs="Times New Roman"/>
          <w:sz w:val="24"/>
          <w:szCs w:val="24"/>
          <w:bdr w:val="none" w:sz="0" w:space="0" w:color="auto" w:frame="1"/>
          <w:lang w:val="en-US"/>
        </w:rPr>
        <w:t xml:space="preserve"> </w:t>
      </w:r>
      <w:proofErr w:type="spellStart"/>
      <w:r w:rsidR="00FF1338" w:rsidRPr="00FF1338">
        <w:rPr>
          <w:rFonts w:ascii="Times New Roman" w:eastAsia="Times New Roman" w:hAnsi="Times New Roman" w:cs="Times New Roman"/>
          <w:sz w:val="24"/>
          <w:szCs w:val="24"/>
          <w:bdr w:val="none" w:sz="0" w:space="0" w:color="auto" w:frame="1"/>
          <w:lang w:val="en-US"/>
        </w:rPr>
        <w:t>Zassi</w:t>
      </w:r>
      <w:proofErr w:type="spellEnd"/>
      <w:r w:rsidR="00FF1338" w:rsidRPr="00FF1338">
        <w:rPr>
          <w:rFonts w:ascii="Times New Roman" w:eastAsia="Times New Roman" w:hAnsi="Times New Roman" w:cs="Times New Roman"/>
          <w:sz w:val="24"/>
          <w:szCs w:val="24"/>
          <w:bdr w:val="none" w:sz="0" w:space="0" w:color="auto" w:frame="1"/>
          <w:lang w:val="en-US"/>
        </w:rPr>
        <w:t xml:space="preserve"> </w:t>
      </w:r>
      <w:r w:rsidR="00511ABD" w:rsidRPr="00FF1338">
        <w:rPr>
          <w:rFonts w:ascii="Times New Roman" w:eastAsia="Times New Roman" w:hAnsi="Times New Roman" w:cs="Times New Roman"/>
          <w:color w:val="000000"/>
          <w:sz w:val="24"/>
          <w:szCs w:val="24"/>
        </w:rPr>
        <w:t>Apr</w:t>
      </w:r>
      <w:proofErr w:type="gramStart"/>
      <w:r w:rsidR="00511ABD" w:rsidRPr="00FF1338">
        <w:rPr>
          <w:rFonts w:ascii="Times New Roman" w:eastAsia="Times New Roman" w:hAnsi="Times New Roman" w:cs="Times New Roman"/>
          <w:color w:val="000000"/>
          <w:sz w:val="24"/>
          <w:szCs w:val="24"/>
        </w:rPr>
        <w:t>;62</w:t>
      </w:r>
      <w:proofErr w:type="gramEnd"/>
      <w:r w:rsidR="00511ABD" w:rsidRPr="00FF1338">
        <w:rPr>
          <w:rFonts w:ascii="Times New Roman" w:eastAsia="Times New Roman" w:hAnsi="Times New Roman" w:cs="Times New Roman"/>
          <w:color w:val="000000"/>
          <w:sz w:val="24"/>
          <w:szCs w:val="24"/>
        </w:rPr>
        <w:t>(2):176-85.</w:t>
      </w:r>
    </w:p>
    <w:p w:rsidR="00511ABD" w:rsidRPr="00FF1338" w:rsidRDefault="00511ABD" w:rsidP="00511AB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B45BE" w:rsidRPr="00DB45BE" w:rsidRDefault="00DB45BE" w:rsidP="00DB45BE">
      <w:pPr>
        <w:pBdr>
          <w:bottom w:val="single" w:sz="6" w:space="0" w:color="CCCCCC"/>
        </w:pBdr>
        <w:shd w:val="clear" w:color="auto" w:fill="FFFFFF"/>
        <w:spacing w:before="360" w:after="180" w:line="330" w:lineRule="atLeast"/>
        <w:outlineLvl w:val="3"/>
        <w:rPr>
          <w:rFonts w:ascii="MinionPro-bold" w:eastAsia="Times New Roman" w:hAnsi="MinionPro-bold" w:cs="Times New Roman"/>
          <w:color w:val="999999"/>
          <w:sz w:val="27"/>
          <w:szCs w:val="27"/>
          <w:lang w:val="en-US"/>
        </w:rPr>
      </w:pPr>
    </w:p>
    <w:p w:rsidR="00833125" w:rsidRDefault="004C68E9" w:rsidP="009D6AF1">
      <w:pPr>
        <w:jc w:val="both"/>
        <w:rPr>
          <w:rFonts w:ascii="Times New Roman" w:hAnsi="Times New Roman" w:cs="Times New Roman"/>
          <w:sz w:val="24"/>
          <w:szCs w:val="24"/>
        </w:rPr>
      </w:pPr>
      <w:r>
        <w:rPr>
          <w:noProof/>
          <w:lang w:val="en-MY" w:eastAsia="en-MY"/>
        </w:rPr>
        <w:drawing>
          <wp:inline distT="0" distB="0" distL="0" distR="0" wp14:anchorId="5E0BDD6F" wp14:editId="5AADB09A">
            <wp:extent cx="5760720" cy="3239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239135"/>
                    </a:xfrm>
                    <a:prstGeom prst="rect">
                      <a:avLst/>
                    </a:prstGeom>
                  </pic:spPr>
                </pic:pic>
              </a:graphicData>
            </a:graphic>
          </wp:inline>
        </w:drawing>
      </w:r>
    </w:p>
    <w:p w:rsidR="004C68E9" w:rsidRDefault="004C68E9" w:rsidP="009D6AF1">
      <w:pPr>
        <w:jc w:val="both"/>
        <w:rPr>
          <w:rFonts w:ascii="Times New Roman" w:hAnsi="Times New Roman" w:cs="Times New Roman"/>
          <w:sz w:val="24"/>
          <w:szCs w:val="24"/>
        </w:rPr>
      </w:pPr>
    </w:p>
    <w:p w:rsidR="004C68E9" w:rsidRPr="0081736A" w:rsidRDefault="004C68E9" w:rsidP="009D6AF1">
      <w:pPr>
        <w:jc w:val="both"/>
        <w:rPr>
          <w:rFonts w:ascii="Times New Roman" w:hAnsi="Times New Roman" w:cs="Times New Roman"/>
          <w:sz w:val="24"/>
          <w:szCs w:val="24"/>
        </w:rPr>
      </w:pPr>
      <w:r>
        <w:rPr>
          <w:noProof/>
          <w:lang w:val="en-MY" w:eastAsia="en-MY"/>
        </w:rPr>
        <w:drawing>
          <wp:inline distT="0" distB="0" distL="0" distR="0" wp14:anchorId="0B92C0D3" wp14:editId="5C008E81">
            <wp:extent cx="5760720" cy="3239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239135"/>
                    </a:xfrm>
                    <a:prstGeom prst="rect">
                      <a:avLst/>
                    </a:prstGeom>
                  </pic:spPr>
                </pic:pic>
              </a:graphicData>
            </a:graphic>
          </wp:inline>
        </w:drawing>
      </w:r>
    </w:p>
    <w:sectPr w:rsidR="004C68E9" w:rsidRPr="008173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FD" w:rsidRDefault="00744DFD" w:rsidP="00746C66">
      <w:pPr>
        <w:spacing w:after="0" w:line="240" w:lineRule="auto"/>
      </w:pPr>
      <w:r>
        <w:separator/>
      </w:r>
    </w:p>
  </w:endnote>
  <w:endnote w:type="continuationSeparator" w:id="0">
    <w:p w:rsidR="00744DFD" w:rsidRDefault="00744DFD"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inionPr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FD" w:rsidRDefault="00744DFD" w:rsidP="00746C66">
      <w:pPr>
        <w:spacing w:after="0" w:line="240" w:lineRule="auto"/>
      </w:pPr>
      <w:r>
        <w:separator/>
      </w:r>
    </w:p>
  </w:footnote>
  <w:footnote w:type="continuationSeparator" w:id="0">
    <w:p w:rsidR="00744DFD" w:rsidRDefault="00744DFD"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A2A"/>
    <w:multiLevelType w:val="hybridMultilevel"/>
    <w:tmpl w:val="2C20242C"/>
    <w:lvl w:ilvl="0" w:tplc="AEE62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A4BE0"/>
    <w:multiLevelType w:val="hybridMultilevel"/>
    <w:tmpl w:val="015686C0"/>
    <w:lvl w:ilvl="0" w:tplc="66AC4186">
      <w:start w:val="1"/>
      <w:numFmt w:val="lowerRoman"/>
      <w:lvlText w:val="%1."/>
      <w:lvlJc w:val="left"/>
      <w:pPr>
        <w:ind w:left="1080" w:hanging="72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82464"/>
    <w:multiLevelType w:val="hybridMultilevel"/>
    <w:tmpl w:val="75BE758A"/>
    <w:lvl w:ilvl="0" w:tplc="F7B47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37ED8"/>
    <w:multiLevelType w:val="hybridMultilevel"/>
    <w:tmpl w:val="08F0577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776B09C4"/>
    <w:multiLevelType w:val="multilevel"/>
    <w:tmpl w:val="CB92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25"/>
    <w:rsid w:val="0000546D"/>
    <w:rsid w:val="00020E10"/>
    <w:rsid w:val="00021B2A"/>
    <w:rsid w:val="000417C2"/>
    <w:rsid w:val="0004688C"/>
    <w:rsid w:val="00073D32"/>
    <w:rsid w:val="000944F3"/>
    <w:rsid w:val="000A0397"/>
    <w:rsid w:val="00156717"/>
    <w:rsid w:val="00176FD8"/>
    <w:rsid w:val="001A516E"/>
    <w:rsid w:val="00201C5A"/>
    <w:rsid w:val="00210D4F"/>
    <w:rsid w:val="002A41F1"/>
    <w:rsid w:val="002B46C6"/>
    <w:rsid w:val="002B6BCE"/>
    <w:rsid w:val="002B777E"/>
    <w:rsid w:val="00362E00"/>
    <w:rsid w:val="00363D69"/>
    <w:rsid w:val="003A5627"/>
    <w:rsid w:val="003E2E7A"/>
    <w:rsid w:val="003F0680"/>
    <w:rsid w:val="0044174C"/>
    <w:rsid w:val="00450D3A"/>
    <w:rsid w:val="004C68E9"/>
    <w:rsid w:val="00504B5B"/>
    <w:rsid w:val="00511ABD"/>
    <w:rsid w:val="00517299"/>
    <w:rsid w:val="005E0DFE"/>
    <w:rsid w:val="005E317A"/>
    <w:rsid w:val="005E58C6"/>
    <w:rsid w:val="005F7F7C"/>
    <w:rsid w:val="00693FF7"/>
    <w:rsid w:val="006E3980"/>
    <w:rsid w:val="00701050"/>
    <w:rsid w:val="0070402A"/>
    <w:rsid w:val="0073440D"/>
    <w:rsid w:val="00743BA1"/>
    <w:rsid w:val="00744DFD"/>
    <w:rsid w:val="00746C66"/>
    <w:rsid w:val="00760739"/>
    <w:rsid w:val="007D7613"/>
    <w:rsid w:val="007F1155"/>
    <w:rsid w:val="0081736A"/>
    <w:rsid w:val="00833125"/>
    <w:rsid w:val="008A6E06"/>
    <w:rsid w:val="00914E7B"/>
    <w:rsid w:val="00915722"/>
    <w:rsid w:val="0093256B"/>
    <w:rsid w:val="00983509"/>
    <w:rsid w:val="009D6AF1"/>
    <w:rsid w:val="009E0EF4"/>
    <w:rsid w:val="00B06046"/>
    <w:rsid w:val="00B11DEB"/>
    <w:rsid w:val="00B21A33"/>
    <w:rsid w:val="00B22206"/>
    <w:rsid w:val="00B2724E"/>
    <w:rsid w:val="00B72DDE"/>
    <w:rsid w:val="00B9114D"/>
    <w:rsid w:val="00BA0FD5"/>
    <w:rsid w:val="00BD2F33"/>
    <w:rsid w:val="00C345A3"/>
    <w:rsid w:val="00C370B3"/>
    <w:rsid w:val="00C412EC"/>
    <w:rsid w:val="00C55D79"/>
    <w:rsid w:val="00C57F76"/>
    <w:rsid w:val="00C64513"/>
    <w:rsid w:val="00CB798C"/>
    <w:rsid w:val="00CE57F4"/>
    <w:rsid w:val="00D04BAC"/>
    <w:rsid w:val="00D67057"/>
    <w:rsid w:val="00DA4CDA"/>
    <w:rsid w:val="00DB0FE7"/>
    <w:rsid w:val="00DB45BE"/>
    <w:rsid w:val="00E50565"/>
    <w:rsid w:val="00E56BD8"/>
    <w:rsid w:val="00E61985"/>
    <w:rsid w:val="00E7146C"/>
    <w:rsid w:val="00E74B5F"/>
    <w:rsid w:val="00E764F8"/>
    <w:rsid w:val="00EB6DB3"/>
    <w:rsid w:val="00EE04E5"/>
    <w:rsid w:val="00F001EF"/>
    <w:rsid w:val="00F96D9B"/>
    <w:rsid w:val="00FB5AF9"/>
    <w:rsid w:val="00FD5FC0"/>
    <w:rsid w:val="00FF1338"/>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C66"/>
  </w:style>
  <w:style w:type="paragraph" w:styleId="ListParagraph">
    <w:name w:val="List Paragraph"/>
    <w:basedOn w:val="Normal"/>
    <w:uiPriority w:val="34"/>
    <w:qFormat/>
    <w:rsid w:val="009D6AF1"/>
    <w:pPr>
      <w:ind w:left="720"/>
      <w:contextualSpacing/>
    </w:pPr>
  </w:style>
  <w:style w:type="paragraph" w:styleId="NormalWeb">
    <w:name w:val="Normal (Web)"/>
    <w:basedOn w:val="Normal"/>
    <w:uiPriority w:val="99"/>
    <w:unhideWhenUsed/>
    <w:rsid w:val="00CB79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E58C6"/>
    <w:rPr>
      <w:color w:val="0000FF"/>
      <w:u w:val="single"/>
    </w:rPr>
  </w:style>
  <w:style w:type="character" w:customStyle="1" w:styleId="apple-converted-space">
    <w:name w:val="apple-converted-space"/>
    <w:basedOn w:val="DefaultParagraphFont"/>
    <w:rsid w:val="005E58C6"/>
  </w:style>
  <w:style w:type="paragraph" w:customStyle="1" w:styleId="Els-Abstract-head">
    <w:name w:val="Els-Abstract-head"/>
    <w:next w:val="Normal"/>
    <w:rsid w:val="00E764F8"/>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cknowledgement">
    <w:name w:val="Els-acknowledgement"/>
    <w:next w:val="Normal"/>
    <w:rsid w:val="00E764F8"/>
    <w:pPr>
      <w:keepNext/>
      <w:spacing w:before="480" w:after="240" w:line="220" w:lineRule="exact"/>
    </w:pPr>
    <w:rPr>
      <w:rFonts w:ascii="Times New Roman" w:eastAsia="SimSun" w:hAnsi="Times New Roman"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C66"/>
  </w:style>
  <w:style w:type="paragraph" w:styleId="ListParagraph">
    <w:name w:val="List Paragraph"/>
    <w:basedOn w:val="Normal"/>
    <w:uiPriority w:val="34"/>
    <w:qFormat/>
    <w:rsid w:val="009D6AF1"/>
    <w:pPr>
      <w:ind w:left="720"/>
      <w:contextualSpacing/>
    </w:pPr>
  </w:style>
  <w:style w:type="paragraph" w:styleId="NormalWeb">
    <w:name w:val="Normal (Web)"/>
    <w:basedOn w:val="Normal"/>
    <w:uiPriority w:val="99"/>
    <w:unhideWhenUsed/>
    <w:rsid w:val="00CB79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E58C6"/>
    <w:rPr>
      <w:color w:val="0000FF"/>
      <w:u w:val="single"/>
    </w:rPr>
  </w:style>
  <w:style w:type="character" w:customStyle="1" w:styleId="apple-converted-space">
    <w:name w:val="apple-converted-space"/>
    <w:basedOn w:val="DefaultParagraphFont"/>
    <w:rsid w:val="005E58C6"/>
  </w:style>
  <w:style w:type="paragraph" w:customStyle="1" w:styleId="Els-Abstract-head">
    <w:name w:val="Els-Abstract-head"/>
    <w:next w:val="Normal"/>
    <w:rsid w:val="00E764F8"/>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cknowledgement">
    <w:name w:val="Els-acknowledgement"/>
    <w:next w:val="Normal"/>
    <w:rsid w:val="00E764F8"/>
    <w:pPr>
      <w:keepNext/>
      <w:spacing w:before="480" w:after="240" w:line="220" w:lineRule="exact"/>
    </w:pPr>
    <w:rPr>
      <w:rFonts w:ascii="Times New Roman" w:eastAsia="SimSu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1434">
      <w:bodyDiv w:val="1"/>
      <w:marLeft w:val="0"/>
      <w:marRight w:val="0"/>
      <w:marTop w:val="0"/>
      <w:marBottom w:val="0"/>
      <w:divBdr>
        <w:top w:val="none" w:sz="0" w:space="0" w:color="auto"/>
        <w:left w:val="none" w:sz="0" w:space="0" w:color="auto"/>
        <w:bottom w:val="none" w:sz="0" w:space="0" w:color="auto"/>
        <w:right w:val="none" w:sz="0" w:space="0" w:color="auto"/>
      </w:divBdr>
    </w:div>
    <w:div w:id="1165127672">
      <w:bodyDiv w:val="1"/>
      <w:marLeft w:val="0"/>
      <w:marRight w:val="0"/>
      <w:marTop w:val="0"/>
      <w:marBottom w:val="0"/>
      <w:divBdr>
        <w:top w:val="none" w:sz="0" w:space="0" w:color="auto"/>
        <w:left w:val="none" w:sz="0" w:space="0" w:color="auto"/>
        <w:bottom w:val="none" w:sz="0" w:space="0" w:color="auto"/>
        <w:right w:val="none" w:sz="0" w:space="0" w:color="auto"/>
      </w:divBdr>
      <w:divsChild>
        <w:div w:id="907959631">
          <w:marLeft w:val="0"/>
          <w:marRight w:val="0"/>
          <w:marTop w:val="180"/>
          <w:marBottom w:val="180"/>
          <w:divBdr>
            <w:top w:val="none" w:sz="0" w:space="0" w:color="auto"/>
            <w:left w:val="none" w:sz="0" w:space="0" w:color="auto"/>
            <w:bottom w:val="none" w:sz="0" w:space="0" w:color="auto"/>
            <w:right w:val="none" w:sz="0" w:space="0" w:color="auto"/>
          </w:divBdr>
        </w:div>
      </w:divsChild>
    </w:div>
    <w:div w:id="16753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dx.doi.org/10.3233/JAD-2009-1059"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0291633443892"/>
          <c:y val="0.16834390500147273"/>
          <c:w val="0.80282403764453003"/>
          <c:h val="0.78723713246586324"/>
        </c:manualLayout>
      </c:layout>
      <c:barChart>
        <c:barDir val="col"/>
        <c:grouping val="clustered"/>
        <c:varyColors val="0"/>
        <c:ser>
          <c:idx val="0"/>
          <c:order val="0"/>
          <c:tx>
            <c:strRef>
              <c:f>'n vs mci'!$B$76</c:f>
              <c:strCache>
                <c:ptCount val="1"/>
                <c:pt idx="0">
                  <c:v>Normal</c:v>
                </c:pt>
              </c:strCache>
            </c:strRef>
          </c:tx>
          <c:invertIfNegative val="0"/>
          <c:cat>
            <c:strRef>
              <c:f>'n vs mci'!$A$77:$A$95</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'n vs mci'!$B$77:$B$95</c:f>
              <c:numCache>
                <c:formatCode>0.0000</c:formatCode>
                <c:ptCount val="19"/>
                <c:pt idx="0">
                  <c:v>0.4399041018580051</c:v>
                </c:pt>
                <c:pt idx="1">
                  <c:v>2.3376857158774675</c:v>
                </c:pt>
                <c:pt idx="2">
                  <c:v>-0.50463659239739067</c:v>
                </c:pt>
                <c:pt idx="3">
                  <c:v>-1.5253049752352286E-2</c:v>
                </c:pt>
                <c:pt idx="4">
                  <c:v>-0.9131169418680285</c:v>
                </c:pt>
                <c:pt idx="5">
                  <c:v>0.47297098528556963</c:v>
                </c:pt>
                <c:pt idx="6">
                  <c:v>0.15740907664051609</c:v>
                </c:pt>
                <c:pt idx="7">
                  <c:v>1.3201958333557333</c:v>
                </c:pt>
                <c:pt idx="8">
                  <c:v>-0.53592629066158071</c:v>
                </c:pt>
                <c:pt idx="9">
                  <c:v>-0.79461433759903821</c:v>
                </c:pt>
                <c:pt idx="10">
                  <c:v>-0.47297089187086</c:v>
                </c:pt>
                <c:pt idx="11">
                  <c:v>2.140514656129914</c:v>
                </c:pt>
                <c:pt idx="12">
                  <c:v>0.51595811453754448</c:v>
                </c:pt>
                <c:pt idx="13">
                  <c:v>-0.94631337395572757</c:v>
                </c:pt>
                <c:pt idx="14">
                  <c:v>-0.98995332151082749</c:v>
                </c:pt>
                <c:pt idx="15">
                  <c:v>-0.67193441239513185</c:v>
                </c:pt>
                <c:pt idx="16">
                  <c:v>-0.6455754753330436</c:v>
                </c:pt>
                <c:pt idx="17">
                  <c:v>-0.69974729302561434</c:v>
                </c:pt>
                <c:pt idx="18">
                  <c:v>-0.19459650331515735</c:v>
                </c:pt>
              </c:numCache>
            </c:numRef>
          </c:val>
        </c:ser>
        <c:ser>
          <c:idx val="1"/>
          <c:order val="1"/>
          <c:tx>
            <c:strRef>
              <c:f>'n vs mci'!$C$76</c:f>
              <c:strCache>
                <c:ptCount val="1"/>
                <c:pt idx="0">
                  <c:v>MCI</c:v>
                </c:pt>
              </c:strCache>
            </c:strRef>
          </c:tx>
          <c:invertIfNegative val="0"/>
          <c:cat>
            <c:strRef>
              <c:f>'n vs mci'!$A$77:$A$95</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'n vs mci'!$C$77:$C$95</c:f>
              <c:numCache>
                <c:formatCode>0.0000</c:formatCode>
                <c:ptCount val="19"/>
                <c:pt idx="0">
                  <c:v>1.9467068224262261</c:v>
                </c:pt>
                <c:pt idx="1">
                  <c:v>1.6366136373110862</c:v>
                </c:pt>
                <c:pt idx="2">
                  <c:v>-0.59543634072548346</c:v>
                </c:pt>
                <c:pt idx="3">
                  <c:v>0.24487887609920428</c:v>
                </c:pt>
                <c:pt idx="4">
                  <c:v>-0.51619825684987974</c:v>
                </c:pt>
                <c:pt idx="5">
                  <c:v>1.7902446847458797</c:v>
                </c:pt>
                <c:pt idx="6">
                  <c:v>0.4758672133974492</c:v>
                </c:pt>
                <c:pt idx="7">
                  <c:v>1.2371129370745313</c:v>
                </c:pt>
                <c:pt idx="8">
                  <c:v>-0.66507027480154168</c:v>
                </c:pt>
                <c:pt idx="9">
                  <c:v>-0.81625373672717938</c:v>
                </c:pt>
                <c:pt idx="10">
                  <c:v>-0.71352550599132791</c:v>
                </c:pt>
                <c:pt idx="11">
                  <c:v>0.89158400023675055</c:v>
                </c:pt>
                <c:pt idx="12">
                  <c:v>-0.65167892330222488</c:v>
                </c:pt>
                <c:pt idx="13">
                  <c:v>-0.78068898556174604</c:v>
                </c:pt>
                <c:pt idx="14">
                  <c:v>-0.76877677101255393</c:v>
                </c:pt>
                <c:pt idx="15">
                  <c:v>-0.73229205189063851</c:v>
                </c:pt>
                <c:pt idx="16">
                  <c:v>-0.61840224696295532</c:v>
                </c:pt>
                <c:pt idx="17">
                  <c:v>-0.65665070632551825</c:v>
                </c:pt>
                <c:pt idx="18">
                  <c:v>-0.70803437114008172</c:v>
                </c:pt>
              </c:numCache>
            </c:numRef>
          </c:val>
        </c:ser>
        <c:dLbls>
          <c:showLegendKey val="0"/>
          <c:showVal val="0"/>
          <c:showCatName val="0"/>
          <c:showSerName val="0"/>
          <c:showPercent val="0"/>
          <c:showBubbleSize val="0"/>
        </c:dLbls>
        <c:gapWidth val="150"/>
        <c:axId val="156809856"/>
        <c:axId val="156811648"/>
      </c:barChart>
      <c:catAx>
        <c:axId val="156809856"/>
        <c:scaling>
          <c:orientation val="minMax"/>
        </c:scaling>
        <c:delete val="0"/>
        <c:axPos val="b"/>
        <c:numFmt formatCode="General" sourceLinked="0"/>
        <c:majorTickMark val="out"/>
        <c:minorTickMark val="none"/>
        <c:tickLblPos val="nextTo"/>
        <c:crossAx val="156811648"/>
        <c:crosses val="autoZero"/>
        <c:auto val="1"/>
        <c:lblAlgn val="ctr"/>
        <c:lblOffset val="100"/>
        <c:noMultiLvlLbl val="0"/>
      </c:catAx>
      <c:valAx>
        <c:axId val="156811648"/>
        <c:scaling>
          <c:orientation val="minMax"/>
        </c:scaling>
        <c:delete val="0"/>
        <c:axPos val="l"/>
        <c:numFmt formatCode="0.0000" sourceLinked="1"/>
        <c:majorTickMark val="out"/>
        <c:minorTickMark val="none"/>
        <c:tickLblPos val="nextTo"/>
        <c:crossAx val="156809856"/>
        <c:crosses val="autoZero"/>
        <c:crossBetween val="between"/>
      </c:valAx>
    </c:plotArea>
    <c:legend>
      <c:legendPos val="r"/>
      <c:layout>
        <c:manualLayout>
          <c:xMode val="edge"/>
          <c:yMode val="edge"/>
          <c:x val="0.84871560897564502"/>
          <c:y val="0.48961634846654373"/>
          <c:w val="0.10475215082936259"/>
          <c:h val="0.1446922455357213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111007946365051E-2"/>
          <c:y val="2.4656645192078264E-2"/>
          <c:w val="0.83280172673668473"/>
          <c:h val="0.91028266921180312"/>
        </c:manualLayout>
      </c:layout>
      <c:barChart>
        <c:barDir val="col"/>
        <c:grouping val="clustered"/>
        <c:varyColors val="0"/>
        <c:ser>
          <c:idx val="0"/>
          <c:order val="0"/>
          <c:tx>
            <c:strRef>
              <c:f>'[eyes closed.xlsx]theta'!$T$26</c:f>
              <c:strCache>
                <c:ptCount val="1"/>
                <c:pt idx="0">
                  <c:v>N</c:v>
                </c:pt>
              </c:strCache>
            </c:strRef>
          </c:tx>
          <c:invertIfNegative val="0"/>
          <c:cat>
            <c:strRef>
              <c:f>'[eyes closed.xlsx]theta'!$S$27:$S$45</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'[eyes closed.xlsx]theta'!$T$27:$T$45</c:f>
              <c:numCache>
                <c:formatCode>General</c:formatCode>
                <c:ptCount val="19"/>
                <c:pt idx="0">
                  <c:v>2.5505455292932799</c:v>
                </c:pt>
                <c:pt idx="1">
                  <c:v>2.6891026567419991</c:v>
                </c:pt>
                <c:pt idx="2">
                  <c:v>-0.16242966236987402</c:v>
                </c:pt>
                <c:pt idx="3">
                  <c:v>-0.48989749179424585</c:v>
                </c:pt>
                <c:pt idx="4">
                  <c:v>-0.56309995495988319</c:v>
                </c:pt>
                <c:pt idx="5">
                  <c:v>-0.61407836258789839</c:v>
                </c:pt>
                <c:pt idx="6">
                  <c:v>-0.27493049513139761</c:v>
                </c:pt>
                <c:pt idx="7">
                  <c:v>-0.62321203853995777</c:v>
                </c:pt>
                <c:pt idx="8">
                  <c:v>-0.64027688675967787</c:v>
                </c:pt>
                <c:pt idx="9">
                  <c:v>-0.56459928663789105</c:v>
                </c:pt>
                <c:pt idx="10">
                  <c:v>-0.81883713734356334</c:v>
                </c:pt>
                <c:pt idx="11">
                  <c:v>0.94677032664746474</c:v>
                </c:pt>
                <c:pt idx="12">
                  <c:v>-0.4298024861534871</c:v>
                </c:pt>
                <c:pt idx="13">
                  <c:v>-0.24539998583334016</c:v>
                </c:pt>
                <c:pt idx="14">
                  <c:v>-0.44174459153453133</c:v>
                </c:pt>
                <c:pt idx="15">
                  <c:v>-6.3950397317854651E-2</c:v>
                </c:pt>
                <c:pt idx="16">
                  <c:v>-0.29374382223193796</c:v>
                </c:pt>
                <c:pt idx="17">
                  <c:v>-5.7874983978129291E-2</c:v>
                </c:pt>
                <c:pt idx="18">
                  <c:v>9.7459070490925878E-2</c:v>
                </c:pt>
              </c:numCache>
            </c:numRef>
          </c:val>
        </c:ser>
        <c:ser>
          <c:idx val="1"/>
          <c:order val="1"/>
          <c:tx>
            <c:strRef>
              <c:f>'[eyes closed.xlsx]theta'!$U$26</c:f>
              <c:strCache>
                <c:ptCount val="1"/>
                <c:pt idx="0">
                  <c:v>MCI</c:v>
                </c:pt>
              </c:strCache>
            </c:strRef>
          </c:tx>
          <c:invertIfNegative val="0"/>
          <c:cat>
            <c:strRef>
              <c:f>'[eyes closed.xlsx]theta'!$S$27:$S$45</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'[eyes closed.xlsx]theta'!$U$27:$U$45</c:f>
              <c:numCache>
                <c:formatCode>General</c:formatCode>
                <c:ptCount val="19"/>
                <c:pt idx="0">
                  <c:v>1.4045341598109267</c:v>
                </c:pt>
                <c:pt idx="1">
                  <c:v>2.1743051685691519</c:v>
                </c:pt>
                <c:pt idx="2">
                  <c:v>-0.34684936695771634</c:v>
                </c:pt>
                <c:pt idx="3">
                  <c:v>-0.40828727569485412</c:v>
                </c:pt>
                <c:pt idx="4">
                  <c:v>-0.56482738794223009</c:v>
                </c:pt>
                <c:pt idx="5">
                  <c:v>-0.36710088743572761</c:v>
                </c:pt>
                <c:pt idx="6">
                  <c:v>1.4480524070350971</c:v>
                </c:pt>
                <c:pt idx="7">
                  <c:v>-0.31096843353799508</c:v>
                </c:pt>
                <c:pt idx="8">
                  <c:v>-0.56502938124686053</c:v>
                </c:pt>
                <c:pt idx="9">
                  <c:v>-1.0133711610438954</c:v>
                </c:pt>
                <c:pt idx="10">
                  <c:v>-0.94152529786138139</c:v>
                </c:pt>
                <c:pt idx="11">
                  <c:v>-8.4026144931507465E-2</c:v>
                </c:pt>
                <c:pt idx="12">
                  <c:v>-0.15193070311927062</c:v>
                </c:pt>
                <c:pt idx="13">
                  <c:v>-0.40174497968060591</c:v>
                </c:pt>
                <c:pt idx="14">
                  <c:v>-0.86885790005774244</c:v>
                </c:pt>
                <c:pt idx="15">
                  <c:v>2.0635314636631197</c:v>
                </c:pt>
                <c:pt idx="16">
                  <c:v>0.24726666591719668</c:v>
                </c:pt>
                <c:pt idx="17">
                  <c:v>-0.70511476529781225</c:v>
                </c:pt>
                <c:pt idx="18">
                  <c:v>-0.60805618018789731</c:v>
                </c:pt>
              </c:numCache>
            </c:numRef>
          </c:val>
        </c:ser>
        <c:dLbls>
          <c:showLegendKey val="0"/>
          <c:showVal val="0"/>
          <c:showCatName val="0"/>
          <c:showSerName val="0"/>
          <c:showPercent val="0"/>
          <c:showBubbleSize val="0"/>
        </c:dLbls>
        <c:gapWidth val="150"/>
        <c:axId val="159056640"/>
        <c:axId val="159058176"/>
      </c:barChart>
      <c:catAx>
        <c:axId val="159056640"/>
        <c:scaling>
          <c:orientation val="minMax"/>
        </c:scaling>
        <c:delete val="0"/>
        <c:axPos val="b"/>
        <c:numFmt formatCode="General" sourceLinked="0"/>
        <c:majorTickMark val="out"/>
        <c:minorTickMark val="none"/>
        <c:tickLblPos val="nextTo"/>
        <c:crossAx val="159058176"/>
        <c:crosses val="autoZero"/>
        <c:auto val="1"/>
        <c:lblAlgn val="ctr"/>
        <c:lblOffset val="100"/>
        <c:noMultiLvlLbl val="0"/>
      </c:catAx>
      <c:valAx>
        <c:axId val="159058176"/>
        <c:scaling>
          <c:orientation val="minMax"/>
        </c:scaling>
        <c:delete val="0"/>
        <c:axPos val="l"/>
        <c:majorGridlines/>
        <c:numFmt formatCode="General" sourceLinked="1"/>
        <c:majorTickMark val="out"/>
        <c:minorTickMark val="none"/>
        <c:tickLblPos val="nextTo"/>
        <c:crossAx val="1590566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'[Normal vs MCI (1).xlsx]Theta'!$P$24</c:f>
              <c:strCache>
                <c:ptCount val="1"/>
                <c:pt idx="0">
                  <c:v>N</c:v>
                </c:pt>
              </c:strCache>
            </c:strRef>
          </c:tx>
          <c:invertIfNegative val="0"/>
          <c:cat>
            <c:strRef>
              <c:f>'[Normal vs MCI (1).xlsx]Theta'!$O$25:$O$43</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'[Normal vs MCI (1).xlsx]Theta'!$P$25:$P$43</c:f>
              <c:numCache>
                <c:formatCode>0.000</c:formatCode>
                <c:ptCount val="19"/>
                <c:pt idx="0">
                  <c:v>3.4374069247451966</c:v>
                </c:pt>
                <c:pt idx="1">
                  <c:v>2.0596250751084182</c:v>
                </c:pt>
                <c:pt idx="2">
                  <c:v>-0.21039344597120491</c:v>
                </c:pt>
                <c:pt idx="3">
                  <c:v>-0.46356672312508074</c:v>
                </c:pt>
                <c:pt idx="4">
                  <c:v>-0.43914819068301192</c:v>
                </c:pt>
                <c:pt idx="5">
                  <c:v>-0.40312378975942231</c:v>
                </c:pt>
                <c:pt idx="6">
                  <c:v>-0.22833870922819419</c:v>
                </c:pt>
                <c:pt idx="7">
                  <c:v>-0.20299130883065802</c:v>
                </c:pt>
                <c:pt idx="8">
                  <c:v>-0.45950476618375169</c:v>
                </c:pt>
                <c:pt idx="9">
                  <c:v>-0.36110259202221529</c:v>
                </c:pt>
                <c:pt idx="10">
                  <c:v>-0.42565613756790838</c:v>
                </c:pt>
                <c:pt idx="11">
                  <c:v>-0.18447638504676489</c:v>
                </c:pt>
                <c:pt idx="12">
                  <c:v>-0.307204091075226</c:v>
                </c:pt>
                <c:pt idx="13">
                  <c:v>-0.40175811808545187</c:v>
                </c:pt>
                <c:pt idx="14">
                  <c:v>-0.34119701263698266</c:v>
                </c:pt>
                <c:pt idx="15">
                  <c:v>-0.3204568156739464</c:v>
                </c:pt>
                <c:pt idx="16">
                  <c:v>-0.35271211025579541</c:v>
                </c:pt>
                <c:pt idx="17">
                  <c:v>-0.19094513820630996</c:v>
                </c:pt>
                <c:pt idx="18">
                  <c:v>-0.20445666550168667</c:v>
                </c:pt>
              </c:numCache>
            </c:numRef>
          </c:val>
        </c:ser>
        <c:ser>
          <c:idx val="1"/>
          <c:order val="1"/>
          <c:tx>
            <c:strRef>
              <c:f>'[Normal vs MCI (1).xlsx]Theta'!$Q$24</c:f>
              <c:strCache>
                <c:ptCount val="1"/>
                <c:pt idx="0">
                  <c:v>MCI</c:v>
                </c:pt>
              </c:strCache>
            </c:strRef>
          </c:tx>
          <c:invertIfNegative val="0"/>
          <c:cat>
            <c:strRef>
              <c:f>'[Normal vs MCI (1).xlsx]Theta'!$O$25:$O$43</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'[Normal vs MCI (1).xlsx]Theta'!$Q$25:$Q$43</c:f>
              <c:numCache>
                <c:formatCode>0.000</c:formatCode>
                <c:ptCount val="19"/>
                <c:pt idx="0">
                  <c:v>2.4168624393827676</c:v>
                </c:pt>
                <c:pt idx="1">
                  <c:v>2.3125472801792912</c:v>
                </c:pt>
                <c:pt idx="2">
                  <c:v>2.7611263187768973</c:v>
                </c:pt>
                <c:pt idx="3">
                  <c:v>0.73191108597021648</c:v>
                </c:pt>
                <c:pt idx="4">
                  <c:v>0.81357682755319494</c:v>
                </c:pt>
                <c:pt idx="5">
                  <c:v>0.79960904416206802</c:v>
                </c:pt>
                <c:pt idx="6">
                  <c:v>1.8418681238068864</c:v>
                </c:pt>
                <c:pt idx="7">
                  <c:v>0.56004048962130282</c:v>
                </c:pt>
                <c:pt idx="8">
                  <c:v>0.69851478741437112</c:v>
                </c:pt>
                <c:pt idx="9">
                  <c:v>0.42568916532304929</c:v>
                </c:pt>
                <c:pt idx="10">
                  <c:v>0.45940088298154064</c:v>
                </c:pt>
                <c:pt idx="11">
                  <c:v>1.027123948289582</c:v>
                </c:pt>
                <c:pt idx="12">
                  <c:v>1.5164716512997505</c:v>
                </c:pt>
                <c:pt idx="13">
                  <c:v>0.79965442131962439</c:v>
                </c:pt>
                <c:pt idx="14">
                  <c:v>0.60661999307524894</c:v>
                </c:pt>
                <c:pt idx="15">
                  <c:v>0.37820941220385507</c:v>
                </c:pt>
                <c:pt idx="16">
                  <c:v>0.56837665124769654</c:v>
                </c:pt>
                <c:pt idx="17">
                  <c:v>1.9359852582382617</c:v>
                </c:pt>
                <c:pt idx="18">
                  <c:v>1.0539123304454441</c:v>
                </c:pt>
              </c:numCache>
            </c:numRef>
          </c:val>
        </c:ser>
        <c:dLbls>
          <c:showLegendKey val="0"/>
          <c:showVal val="0"/>
          <c:showCatName val="0"/>
          <c:showSerName val="0"/>
          <c:showPercent val="0"/>
          <c:showBubbleSize val="0"/>
        </c:dLbls>
        <c:gapWidth val="150"/>
        <c:axId val="159066368"/>
        <c:axId val="159076352"/>
      </c:barChart>
      <c:catAx>
        <c:axId val="159066368"/>
        <c:scaling>
          <c:orientation val="minMax"/>
        </c:scaling>
        <c:delete val="0"/>
        <c:axPos val="b"/>
        <c:numFmt formatCode="General" sourceLinked="0"/>
        <c:majorTickMark val="out"/>
        <c:minorTickMark val="none"/>
        <c:tickLblPos val="nextTo"/>
        <c:crossAx val="159076352"/>
        <c:crosses val="autoZero"/>
        <c:auto val="1"/>
        <c:lblAlgn val="ctr"/>
        <c:lblOffset val="100"/>
        <c:noMultiLvlLbl val="0"/>
      </c:catAx>
      <c:valAx>
        <c:axId val="159076352"/>
        <c:scaling>
          <c:orientation val="minMax"/>
        </c:scaling>
        <c:delete val="0"/>
        <c:axPos val="l"/>
        <c:numFmt formatCode="0.000" sourceLinked="1"/>
        <c:majorTickMark val="out"/>
        <c:minorTickMark val="none"/>
        <c:tickLblPos val="nextTo"/>
        <c:crossAx val="15906636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60055196352489"/>
          <c:y val="0.13009471179185766"/>
          <c:w val="0.68281771689107962"/>
          <c:h val="0.82635553922899607"/>
        </c:manualLayout>
      </c:layout>
      <c:barChart>
        <c:barDir val="col"/>
        <c:grouping val="clustered"/>
        <c:varyColors val="0"/>
        <c:ser>
          <c:idx val="0"/>
          <c:order val="0"/>
          <c:tx>
            <c:strRef>
              <c:f>'[eyes closed.xlsx]alpha'!$U$25</c:f>
              <c:strCache>
                <c:ptCount val="1"/>
                <c:pt idx="0">
                  <c:v>N</c:v>
                </c:pt>
              </c:strCache>
            </c:strRef>
          </c:tx>
          <c:invertIfNegative val="0"/>
          <c:cat>
            <c:strRef>
              <c:f>'[eyes closed.xlsx]alpha'!$T$26:$T$44</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'[eyes closed.xlsx]alpha'!$U$26:$U$44</c:f>
              <c:numCache>
                <c:formatCode>General</c:formatCode>
                <c:ptCount val="19"/>
                <c:pt idx="0">
                  <c:v>0.16508855283139795</c:v>
                </c:pt>
                <c:pt idx="1">
                  <c:v>-0.12663663435213227</c:v>
                </c:pt>
                <c:pt idx="2">
                  <c:v>-0.76272669405497073</c:v>
                </c:pt>
                <c:pt idx="3">
                  <c:v>-0.47603573056494031</c:v>
                </c:pt>
                <c:pt idx="4">
                  <c:v>-0.19629981226579141</c:v>
                </c:pt>
                <c:pt idx="5">
                  <c:v>-0.39516300475977023</c:v>
                </c:pt>
                <c:pt idx="6">
                  <c:v>-0.71540284686896904</c:v>
                </c:pt>
                <c:pt idx="7">
                  <c:v>-1.0199188603850449</c:v>
                </c:pt>
                <c:pt idx="8">
                  <c:v>-1.1605813994981775</c:v>
                </c:pt>
                <c:pt idx="9">
                  <c:v>-0.54452700857404646</c:v>
                </c:pt>
                <c:pt idx="10">
                  <c:v>-1.0642256000797974</c:v>
                </c:pt>
                <c:pt idx="11">
                  <c:v>-0.45707253152891786</c:v>
                </c:pt>
                <c:pt idx="12">
                  <c:v>2.376217977364028</c:v>
                </c:pt>
                <c:pt idx="13">
                  <c:v>0.70621325176194349</c:v>
                </c:pt>
                <c:pt idx="14">
                  <c:v>-9.6239499122784386E-2</c:v>
                </c:pt>
                <c:pt idx="15">
                  <c:v>9.842145790325893E-2</c:v>
                </c:pt>
                <c:pt idx="16">
                  <c:v>0.67377514942472416</c:v>
                </c:pt>
                <c:pt idx="17">
                  <c:v>2.3078809500230641</c:v>
                </c:pt>
                <c:pt idx="18">
                  <c:v>0.68723228274691883</c:v>
                </c:pt>
              </c:numCache>
            </c:numRef>
          </c:val>
        </c:ser>
        <c:ser>
          <c:idx val="1"/>
          <c:order val="1"/>
          <c:tx>
            <c:strRef>
              <c:f>'[eyes closed.xlsx]alpha'!$V$25</c:f>
              <c:strCache>
                <c:ptCount val="1"/>
                <c:pt idx="0">
                  <c:v>Mci</c:v>
                </c:pt>
              </c:strCache>
            </c:strRef>
          </c:tx>
          <c:invertIfNegative val="0"/>
          <c:cat>
            <c:strRef>
              <c:f>'[eyes closed.xlsx]alpha'!$T$26:$T$44</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'[eyes closed.xlsx]alpha'!$V$26:$V$44</c:f>
              <c:numCache>
                <c:formatCode>General</c:formatCode>
                <c:ptCount val="19"/>
                <c:pt idx="0">
                  <c:v>-0.56520393220906595</c:v>
                </c:pt>
                <c:pt idx="1">
                  <c:v>0.44846105756220933</c:v>
                </c:pt>
                <c:pt idx="2">
                  <c:v>-1.2727898115789471</c:v>
                </c:pt>
                <c:pt idx="3">
                  <c:v>-0.42215661822476969</c:v>
                </c:pt>
                <c:pt idx="4">
                  <c:v>0.34311385357483121</c:v>
                </c:pt>
                <c:pt idx="5">
                  <c:v>0.61810539191143454</c:v>
                </c:pt>
                <c:pt idx="6">
                  <c:v>-2.7748170770747229E-2</c:v>
                </c:pt>
                <c:pt idx="7">
                  <c:v>-2.9865673109703755E-2</c:v>
                </c:pt>
                <c:pt idx="8">
                  <c:v>-1.3042661301658711</c:v>
                </c:pt>
                <c:pt idx="9">
                  <c:v>-0.20406327999660936</c:v>
                </c:pt>
                <c:pt idx="10">
                  <c:v>-1.5657339524512943</c:v>
                </c:pt>
                <c:pt idx="11">
                  <c:v>-0.59051600464840548</c:v>
                </c:pt>
                <c:pt idx="12">
                  <c:v>1.5985469129034111</c:v>
                </c:pt>
                <c:pt idx="13">
                  <c:v>-0.69364212797870817</c:v>
                </c:pt>
                <c:pt idx="14">
                  <c:v>-1.2235965372087376</c:v>
                </c:pt>
                <c:pt idx="15">
                  <c:v>1.19838338692171</c:v>
                </c:pt>
                <c:pt idx="16">
                  <c:v>1.3438352683165846</c:v>
                </c:pt>
                <c:pt idx="17">
                  <c:v>0.94887711150721243</c:v>
                </c:pt>
                <c:pt idx="18">
                  <c:v>1.4002592556454647</c:v>
                </c:pt>
              </c:numCache>
            </c:numRef>
          </c:val>
        </c:ser>
        <c:dLbls>
          <c:showLegendKey val="0"/>
          <c:showVal val="0"/>
          <c:showCatName val="0"/>
          <c:showSerName val="0"/>
          <c:showPercent val="0"/>
          <c:showBubbleSize val="0"/>
        </c:dLbls>
        <c:gapWidth val="150"/>
        <c:axId val="159093120"/>
        <c:axId val="159094656"/>
      </c:barChart>
      <c:catAx>
        <c:axId val="159093120"/>
        <c:scaling>
          <c:orientation val="minMax"/>
        </c:scaling>
        <c:delete val="0"/>
        <c:axPos val="b"/>
        <c:numFmt formatCode="General" sourceLinked="0"/>
        <c:majorTickMark val="out"/>
        <c:minorTickMark val="none"/>
        <c:tickLblPos val="nextTo"/>
        <c:crossAx val="159094656"/>
        <c:crosses val="autoZero"/>
        <c:auto val="1"/>
        <c:lblAlgn val="ctr"/>
        <c:lblOffset val="100"/>
        <c:noMultiLvlLbl val="0"/>
      </c:catAx>
      <c:valAx>
        <c:axId val="159094656"/>
        <c:scaling>
          <c:orientation val="minMax"/>
        </c:scaling>
        <c:delete val="0"/>
        <c:axPos val="l"/>
        <c:majorGridlines/>
        <c:numFmt formatCode="General" sourceLinked="1"/>
        <c:majorTickMark val="out"/>
        <c:minorTickMark val="none"/>
        <c:tickLblPos val="nextTo"/>
        <c:crossAx val="1590931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'[Normal vs MCI (1).xlsx]Alpha'!$N$36</c:f>
              <c:strCache>
                <c:ptCount val="1"/>
                <c:pt idx="0">
                  <c:v>N</c:v>
                </c:pt>
              </c:strCache>
            </c:strRef>
          </c:tx>
          <c:invertIfNegative val="0"/>
          <c:cat>
            <c:strRef>
              <c:f>'[Normal vs MCI (1).xlsx]Alpha'!$M$37:$M$55</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'[Normal vs MCI (1).xlsx]Alpha'!$N$37:$N$55</c:f>
              <c:numCache>
                <c:formatCode>General</c:formatCode>
                <c:ptCount val="19"/>
                <c:pt idx="0">
                  <c:v>2.797410637015473</c:v>
                </c:pt>
                <c:pt idx="1">
                  <c:v>2.6438313964568274</c:v>
                </c:pt>
                <c:pt idx="2">
                  <c:v>-0.27035099364073029</c:v>
                </c:pt>
                <c:pt idx="3">
                  <c:v>-0.6049372198696843</c:v>
                </c:pt>
                <c:pt idx="4">
                  <c:v>-0.52934552559594528</c:v>
                </c:pt>
                <c:pt idx="5">
                  <c:v>-0.44926584391654262</c:v>
                </c:pt>
                <c:pt idx="6">
                  <c:v>-0.41394467820256831</c:v>
                </c:pt>
                <c:pt idx="7">
                  <c:v>-0.22437475406640719</c:v>
                </c:pt>
                <c:pt idx="8">
                  <c:v>-0.20225991436621851</c:v>
                </c:pt>
                <c:pt idx="9">
                  <c:v>-0.44458759028111788</c:v>
                </c:pt>
                <c:pt idx="10">
                  <c:v>-0.67583389199882971</c:v>
                </c:pt>
                <c:pt idx="11">
                  <c:v>-0.41186954108670126</c:v>
                </c:pt>
                <c:pt idx="12">
                  <c:v>0.48506997933639906</c:v>
                </c:pt>
                <c:pt idx="13">
                  <c:v>-0.54835013589462223</c:v>
                </c:pt>
                <c:pt idx="14">
                  <c:v>-0.4561375374716588</c:v>
                </c:pt>
                <c:pt idx="15">
                  <c:v>-0.54776404923951483</c:v>
                </c:pt>
                <c:pt idx="16">
                  <c:v>-7.0266016222804817E-2</c:v>
                </c:pt>
                <c:pt idx="17">
                  <c:v>-0.28843549714085126</c:v>
                </c:pt>
                <c:pt idx="18">
                  <c:v>0.21141117618550415</c:v>
                </c:pt>
              </c:numCache>
            </c:numRef>
          </c:val>
        </c:ser>
        <c:ser>
          <c:idx val="1"/>
          <c:order val="1"/>
          <c:tx>
            <c:strRef>
              <c:f>'[Normal vs MCI (1).xlsx]Alpha'!$O$36</c:f>
              <c:strCache>
                <c:ptCount val="1"/>
                <c:pt idx="0">
                  <c:v>MCI</c:v>
                </c:pt>
              </c:strCache>
            </c:strRef>
          </c:tx>
          <c:invertIfNegative val="0"/>
          <c:cat>
            <c:strRef>
              <c:f>'[Normal vs MCI (1).xlsx]Alpha'!$M$37:$M$55</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'[Normal vs MCI (1).xlsx]Alpha'!$O$37:$O$55</c:f>
              <c:numCache>
                <c:formatCode>General</c:formatCode>
                <c:ptCount val="19"/>
                <c:pt idx="0">
                  <c:v>1.0918135083147515</c:v>
                </c:pt>
                <c:pt idx="1">
                  <c:v>0.44131347724395237</c:v>
                </c:pt>
                <c:pt idx="2">
                  <c:v>-6.1431975233738875E-2</c:v>
                </c:pt>
                <c:pt idx="3">
                  <c:v>0.44491132897565777</c:v>
                </c:pt>
                <c:pt idx="4">
                  <c:v>0.30666368408707684</c:v>
                </c:pt>
                <c:pt idx="5">
                  <c:v>-0.48563850980861312</c:v>
                </c:pt>
                <c:pt idx="6">
                  <c:v>-0.5989589824206486</c:v>
                </c:pt>
                <c:pt idx="7">
                  <c:v>-0.90704810752370413</c:v>
                </c:pt>
                <c:pt idx="8">
                  <c:v>-1.0066573997286932</c:v>
                </c:pt>
                <c:pt idx="9">
                  <c:v>-0.17357794158761322</c:v>
                </c:pt>
                <c:pt idx="10">
                  <c:v>-1.2298537761130184</c:v>
                </c:pt>
                <c:pt idx="11">
                  <c:v>6.0940669800931518E-2</c:v>
                </c:pt>
                <c:pt idx="12">
                  <c:v>9.4032056998911359E-2</c:v>
                </c:pt>
                <c:pt idx="13">
                  <c:v>-1.1086696720675071</c:v>
                </c:pt>
                <c:pt idx="14">
                  <c:v>-1.0436334634656363</c:v>
                </c:pt>
                <c:pt idx="15">
                  <c:v>0.8475000030053701</c:v>
                </c:pt>
                <c:pt idx="16">
                  <c:v>3.0267730886254061</c:v>
                </c:pt>
                <c:pt idx="17">
                  <c:v>-5.9140245132757466E-2</c:v>
                </c:pt>
                <c:pt idx="18">
                  <c:v>0.36066225602987223</c:v>
                </c:pt>
              </c:numCache>
            </c:numRef>
          </c:val>
        </c:ser>
        <c:dLbls>
          <c:showLegendKey val="0"/>
          <c:showVal val="0"/>
          <c:showCatName val="0"/>
          <c:showSerName val="0"/>
          <c:showPercent val="0"/>
          <c:showBubbleSize val="0"/>
        </c:dLbls>
        <c:gapWidth val="150"/>
        <c:axId val="159119616"/>
        <c:axId val="170852352"/>
      </c:barChart>
      <c:catAx>
        <c:axId val="159119616"/>
        <c:scaling>
          <c:orientation val="minMax"/>
        </c:scaling>
        <c:delete val="0"/>
        <c:axPos val="b"/>
        <c:numFmt formatCode="General" sourceLinked="0"/>
        <c:majorTickMark val="out"/>
        <c:minorTickMark val="none"/>
        <c:tickLblPos val="nextTo"/>
        <c:crossAx val="170852352"/>
        <c:crosses val="autoZero"/>
        <c:auto val="1"/>
        <c:lblAlgn val="ctr"/>
        <c:lblOffset val="100"/>
        <c:noMultiLvlLbl val="0"/>
      </c:catAx>
      <c:valAx>
        <c:axId val="170852352"/>
        <c:scaling>
          <c:orientation val="minMax"/>
        </c:scaling>
        <c:delete val="0"/>
        <c:axPos val="l"/>
        <c:numFmt formatCode="General" sourceLinked="1"/>
        <c:majorTickMark val="out"/>
        <c:minorTickMark val="none"/>
        <c:tickLblPos val="nextTo"/>
        <c:crossAx val="1591196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delta!$T$25</c:f>
              <c:strCache>
                <c:ptCount val="1"/>
                <c:pt idx="0">
                  <c:v>N</c:v>
                </c:pt>
              </c:strCache>
            </c:strRef>
          </c:tx>
          <c:invertIfNegative val="0"/>
          <c:cat>
            <c:strRef>
              <c:f>delta!$S$26:$S$44</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delta!$T$26:$T$44</c:f>
              <c:numCache>
                <c:formatCode>General</c:formatCode>
                <c:ptCount val="19"/>
                <c:pt idx="0">
                  <c:v>1.7631225693520007</c:v>
                </c:pt>
                <c:pt idx="1">
                  <c:v>1.728663161558315</c:v>
                </c:pt>
                <c:pt idx="2">
                  <c:v>0.9633085570948412</c:v>
                </c:pt>
                <c:pt idx="3">
                  <c:v>-0.69317391663389227</c:v>
                </c:pt>
                <c:pt idx="4">
                  <c:v>-0.6435562943080011</c:v>
                </c:pt>
                <c:pt idx="5">
                  <c:v>-0.34868505036423714</c:v>
                </c:pt>
                <c:pt idx="6">
                  <c:v>0.59580103159660569</c:v>
                </c:pt>
                <c:pt idx="7">
                  <c:v>0.33038174547932386</c:v>
                </c:pt>
                <c:pt idx="8">
                  <c:v>-0.75384459562894046</c:v>
                </c:pt>
                <c:pt idx="9">
                  <c:v>-0.68856736848060596</c:v>
                </c:pt>
                <c:pt idx="10">
                  <c:v>-0.76470956452673999</c:v>
                </c:pt>
                <c:pt idx="11">
                  <c:v>2.380740007606196</c:v>
                </c:pt>
                <c:pt idx="12">
                  <c:v>-0.50729799500288808</c:v>
                </c:pt>
                <c:pt idx="13">
                  <c:v>-0.63847799337646027</c:v>
                </c:pt>
                <c:pt idx="14">
                  <c:v>-0.72043039459696734</c:v>
                </c:pt>
                <c:pt idx="15">
                  <c:v>-0.54585097873155186</c:v>
                </c:pt>
                <c:pt idx="16">
                  <c:v>-0.56602912848596332</c:v>
                </c:pt>
                <c:pt idx="17">
                  <c:v>-0.44906013613778856</c:v>
                </c:pt>
                <c:pt idx="18">
                  <c:v>-0.44233365641324635</c:v>
                </c:pt>
              </c:numCache>
            </c:numRef>
          </c:val>
        </c:ser>
        <c:ser>
          <c:idx val="1"/>
          <c:order val="1"/>
          <c:tx>
            <c:strRef>
              <c:f>delta!$U$25</c:f>
              <c:strCache>
                <c:ptCount val="1"/>
                <c:pt idx="0">
                  <c:v>MCI</c:v>
                </c:pt>
              </c:strCache>
            </c:strRef>
          </c:tx>
          <c:invertIfNegative val="0"/>
          <c:cat>
            <c:strRef>
              <c:f>delta!$S$26:$S$44</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delta!$U$26:$U$44</c:f>
              <c:numCache>
                <c:formatCode>General</c:formatCode>
                <c:ptCount val="19"/>
                <c:pt idx="0">
                  <c:v>3.6140046369776497</c:v>
                </c:pt>
                <c:pt idx="1">
                  <c:v>1.028358785418966</c:v>
                </c:pt>
                <c:pt idx="2">
                  <c:v>4.6781841787739802E-2</c:v>
                </c:pt>
                <c:pt idx="3">
                  <c:v>-0.5784411176605524</c:v>
                </c:pt>
                <c:pt idx="4">
                  <c:v>-0.54740262186048783</c:v>
                </c:pt>
                <c:pt idx="5">
                  <c:v>-0.38988500599689713</c:v>
                </c:pt>
                <c:pt idx="6">
                  <c:v>0.65101464306948753</c:v>
                </c:pt>
                <c:pt idx="7">
                  <c:v>-0.51916400314428124</c:v>
                </c:pt>
                <c:pt idx="8">
                  <c:v>-0.64526352925272146</c:v>
                </c:pt>
                <c:pt idx="9">
                  <c:v>-0.58397347655686938</c:v>
                </c:pt>
                <c:pt idx="10">
                  <c:v>-0.62676253614674682</c:v>
                </c:pt>
                <c:pt idx="11">
                  <c:v>0.19906857792379054</c:v>
                </c:pt>
                <c:pt idx="12">
                  <c:v>-0.39688816758080536</c:v>
                </c:pt>
                <c:pt idx="13">
                  <c:v>-0.40179984892924547</c:v>
                </c:pt>
                <c:pt idx="14">
                  <c:v>-0.43858899175897437</c:v>
                </c:pt>
                <c:pt idx="15">
                  <c:v>0.59342340144512529</c:v>
                </c:pt>
                <c:pt idx="16">
                  <c:v>-0.39899872979322148</c:v>
                </c:pt>
                <c:pt idx="17">
                  <c:v>-0.25901082224191307</c:v>
                </c:pt>
                <c:pt idx="18">
                  <c:v>-0.34647303570004451</c:v>
                </c:pt>
              </c:numCache>
            </c:numRef>
          </c:val>
        </c:ser>
        <c:dLbls>
          <c:showLegendKey val="0"/>
          <c:showVal val="0"/>
          <c:showCatName val="0"/>
          <c:showSerName val="0"/>
          <c:showPercent val="0"/>
          <c:showBubbleSize val="0"/>
        </c:dLbls>
        <c:gapWidth val="150"/>
        <c:shape val="box"/>
        <c:axId val="170869504"/>
        <c:axId val="170871040"/>
        <c:axId val="0"/>
      </c:bar3DChart>
      <c:catAx>
        <c:axId val="170869504"/>
        <c:scaling>
          <c:orientation val="minMax"/>
        </c:scaling>
        <c:delete val="0"/>
        <c:axPos val="b"/>
        <c:numFmt formatCode="General" sourceLinked="0"/>
        <c:majorTickMark val="out"/>
        <c:minorTickMark val="none"/>
        <c:tickLblPos val="nextTo"/>
        <c:crossAx val="170871040"/>
        <c:crosses val="autoZero"/>
        <c:auto val="1"/>
        <c:lblAlgn val="ctr"/>
        <c:lblOffset val="100"/>
        <c:noMultiLvlLbl val="0"/>
      </c:catAx>
      <c:valAx>
        <c:axId val="170871040"/>
        <c:scaling>
          <c:orientation val="minMax"/>
        </c:scaling>
        <c:delete val="0"/>
        <c:axPos val="l"/>
        <c:majorGridlines/>
        <c:numFmt formatCode="General" sourceLinked="1"/>
        <c:majorTickMark val="out"/>
        <c:minorTickMark val="none"/>
        <c:tickLblPos val="nextTo"/>
        <c:crossAx val="17086950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'[Normal vs MCI (2).xlsx]n vs mci'!$B$100</c:f>
              <c:strCache>
                <c:ptCount val="1"/>
                <c:pt idx="0">
                  <c:v>Normal</c:v>
                </c:pt>
              </c:strCache>
            </c:strRef>
          </c:tx>
          <c:invertIfNegative val="0"/>
          <c:cat>
            <c:strRef>
              <c:f>'[Normal vs MCI (2).xlsx]n vs mci'!$A$101:$A$119</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'[Normal vs MCI (2).xlsx]n vs mci'!$B$101:$B$119</c:f>
              <c:numCache>
                <c:formatCode>0.0000</c:formatCode>
                <c:ptCount val="19"/>
                <c:pt idx="0">
                  <c:v>2.726963535652227</c:v>
                </c:pt>
                <c:pt idx="1">
                  <c:v>1.8232570146841596</c:v>
                </c:pt>
                <c:pt idx="2">
                  <c:v>1.4548710205214579</c:v>
                </c:pt>
                <c:pt idx="3">
                  <c:v>-0.71534248181049276</c:v>
                </c:pt>
                <c:pt idx="4">
                  <c:v>-0.6737865534052726</c:v>
                </c:pt>
                <c:pt idx="5">
                  <c:v>-0.32888978464040419</c:v>
                </c:pt>
                <c:pt idx="6">
                  <c:v>0.74370235511824456</c:v>
                </c:pt>
                <c:pt idx="7">
                  <c:v>-0.14701494512124219</c:v>
                </c:pt>
                <c:pt idx="8">
                  <c:v>-0.4153662453788709</c:v>
                </c:pt>
                <c:pt idx="9">
                  <c:v>-0.64698208010493574</c:v>
                </c:pt>
                <c:pt idx="10">
                  <c:v>-0.70823659794899407</c:v>
                </c:pt>
                <c:pt idx="11">
                  <c:v>-0.5092764625396965</c:v>
                </c:pt>
                <c:pt idx="12">
                  <c:v>-0.51808674373116836</c:v>
                </c:pt>
                <c:pt idx="13">
                  <c:v>-0.80802525613097764</c:v>
                </c:pt>
                <c:pt idx="14">
                  <c:v>-0.61085907074179469</c:v>
                </c:pt>
                <c:pt idx="15">
                  <c:v>7.9756669491354751E-2</c:v>
                </c:pt>
                <c:pt idx="16">
                  <c:v>-0.48021867910216903</c:v>
                </c:pt>
                <c:pt idx="17">
                  <c:v>-0.66009083487963027</c:v>
                </c:pt>
                <c:pt idx="18">
                  <c:v>0.39362514006820781</c:v>
                </c:pt>
              </c:numCache>
            </c:numRef>
          </c:val>
        </c:ser>
        <c:ser>
          <c:idx val="1"/>
          <c:order val="1"/>
          <c:tx>
            <c:strRef>
              <c:f>'[Normal vs MCI (2).xlsx]n vs mci'!$C$100</c:f>
              <c:strCache>
                <c:ptCount val="1"/>
                <c:pt idx="0">
                  <c:v>MCI</c:v>
                </c:pt>
              </c:strCache>
            </c:strRef>
          </c:tx>
          <c:invertIfNegative val="0"/>
          <c:cat>
            <c:strRef>
              <c:f>'[Normal vs MCI (2).xlsx]n vs mci'!$A$101:$A$119</c:f>
              <c:strCache>
                <c:ptCount val="19"/>
                <c:pt idx="0">
                  <c:v>Fp1-Av </c:v>
                </c:pt>
                <c:pt idx="1">
                  <c:v>Fp2-Av </c:v>
                </c:pt>
                <c:pt idx="2">
                  <c:v>F7-Av </c:v>
                </c:pt>
                <c:pt idx="3">
                  <c:v>F3-Av </c:v>
                </c:pt>
                <c:pt idx="4">
                  <c:v>Fz-Av </c:v>
                </c:pt>
                <c:pt idx="5">
                  <c:v>F4-Av </c:v>
                </c:pt>
                <c:pt idx="6">
                  <c:v>F8-Av </c:v>
                </c:pt>
                <c:pt idx="7">
                  <c:v>T3-Av </c:v>
                </c:pt>
                <c:pt idx="8">
                  <c:v>C3-Av </c:v>
                </c:pt>
                <c:pt idx="9">
                  <c:v>Cz-Av </c:v>
                </c:pt>
                <c:pt idx="10">
                  <c:v>C4-Av </c:v>
                </c:pt>
                <c:pt idx="11">
                  <c:v>T4-Av </c:v>
                </c:pt>
                <c:pt idx="12">
                  <c:v>T5-Av </c:v>
                </c:pt>
                <c:pt idx="13">
                  <c:v>P3-Av </c:v>
                </c:pt>
                <c:pt idx="14">
                  <c:v>Pz-Av </c:v>
                </c:pt>
                <c:pt idx="15">
                  <c:v>P4-Av </c:v>
                </c:pt>
                <c:pt idx="16">
                  <c:v>T6-Av </c:v>
                </c:pt>
                <c:pt idx="17">
                  <c:v>O1-Av </c:v>
                </c:pt>
                <c:pt idx="18">
                  <c:v>O2-Av </c:v>
                </c:pt>
              </c:strCache>
            </c:strRef>
          </c:cat>
          <c:val>
            <c:numRef>
              <c:f>'[Normal vs MCI (2).xlsx]n vs mci'!$C$101:$C$119</c:f>
              <c:numCache>
                <c:formatCode>0.0000</c:formatCode>
                <c:ptCount val="19"/>
                <c:pt idx="0">
                  <c:v>0.52268195303899179</c:v>
                </c:pt>
                <c:pt idx="1">
                  <c:v>0.66974478479381949</c:v>
                </c:pt>
                <c:pt idx="2">
                  <c:v>1.9355628768049324</c:v>
                </c:pt>
                <c:pt idx="3">
                  <c:v>0.34621966654546404</c:v>
                </c:pt>
                <c:pt idx="4">
                  <c:v>-0.4832855270971026</c:v>
                </c:pt>
                <c:pt idx="5">
                  <c:v>-0.70624976541258033</c:v>
                </c:pt>
                <c:pt idx="6">
                  <c:v>2.622138184204676</c:v>
                </c:pt>
                <c:pt idx="7">
                  <c:v>0.19514064748640225</c:v>
                </c:pt>
                <c:pt idx="8">
                  <c:v>-0.80454111301214515</c:v>
                </c:pt>
                <c:pt idx="9">
                  <c:v>-0.73636503787674479</c:v>
                </c:pt>
                <c:pt idx="10">
                  <c:v>-0.75409539256382541</c:v>
                </c:pt>
                <c:pt idx="11">
                  <c:v>1.1695953531383638</c:v>
                </c:pt>
                <c:pt idx="12">
                  <c:v>-0.65644928514930778</c:v>
                </c:pt>
                <c:pt idx="13">
                  <c:v>-0.81732939876935806</c:v>
                </c:pt>
                <c:pt idx="14">
                  <c:v>-0.85264250603075287</c:v>
                </c:pt>
                <c:pt idx="15">
                  <c:v>-0.11925071309274299</c:v>
                </c:pt>
                <c:pt idx="16">
                  <c:v>-0.40069286165652407</c:v>
                </c:pt>
                <c:pt idx="17">
                  <c:v>-0.55068037701811323</c:v>
                </c:pt>
                <c:pt idx="18">
                  <c:v>-0.57950148833345194</c:v>
                </c:pt>
              </c:numCache>
            </c:numRef>
          </c:val>
        </c:ser>
        <c:dLbls>
          <c:showLegendKey val="0"/>
          <c:showVal val="0"/>
          <c:showCatName val="0"/>
          <c:showSerName val="0"/>
          <c:showPercent val="0"/>
          <c:showBubbleSize val="0"/>
        </c:dLbls>
        <c:gapWidth val="150"/>
        <c:axId val="171207296"/>
        <c:axId val="171594112"/>
      </c:barChart>
      <c:catAx>
        <c:axId val="171207296"/>
        <c:scaling>
          <c:orientation val="minMax"/>
        </c:scaling>
        <c:delete val="0"/>
        <c:axPos val="b"/>
        <c:numFmt formatCode="General" sourceLinked="0"/>
        <c:majorTickMark val="out"/>
        <c:minorTickMark val="none"/>
        <c:tickLblPos val="nextTo"/>
        <c:crossAx val="171594112"/>
        <c:crosses val="autoZero"/>
        <c:auto val="1"/>
        <c:lblAlgn val="ctr"/>
        <c:lblOffset val="100"/>
        <c:noMultiLvlLbl val="0"/>
      </c:catAx>
      <c:valAx>
        <c:axId val="171594112"/>
        <c:scaling>
          <c:orientation val="minMax"/>
        </c:scaling>
        <c:delete val="0"/>
        <c:axPos val="l"/>
        <c:numFmt formatCode="0.0000" sourceLinked="1"/>
        <c:majorTickMark val="out"/>
        <c:minorTickMark val="none"/>
        <c:tickLblPos val="nextTo"/>
        <c:crossAx val="171207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Norsiah</dc:creator>
  <cp:lastModifiedBy>ktm</cp:lastModifiedBy>
  <cp:revision>2</cp:revision>
  <dcterms:created xsi:type="dcterms:W3CDTF">2018-09-13T12:37:00Z</dcterms:created>
  <dcterms:modified xsi:type="dcterms:W3CDTF">2018-09-13T12:37:00Z</dcterms:modified>
</cp:coreProperties>
</file>